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38" w:rsidRPr="006A0E38" w:rsidRDefault="006A0E38" w:rsidP="006A0E38">
      <w:pPr>
        <w:jc w:val="center"/>
        <w:rPr>
          <w:b/>
          <w:szCs w:val="24"/>
        </w:rPr>
      </w:pPr>
      <w:r w:rsidRPr="006A0E38">
        <w:rPr>
          <w:b/>
          <w:szCs w:val="24"/>
        </w:rPr>
        <w:t xml:space="preserve">Fostering </w:t>
      </w:r>
      <w:r w:rsidRPr="006A0E38">
        <w:rPr>
          <w:b/>
          <w:szCs w:val="24"/>
          <w:lang w:val="en-GB"/>
        </w:rPr>
        <w:t xml:space="preserve">Incremental and Radical </w:t>
      </w:r>
      <w:r w:rsidRPr="006A0E38">
        <w:rPr>
          <w:b/>
          <w:szCs w:val="24"/>
        </w:rPr>
        <w:t>Innovation through Performance-Based Contracting in Inter-Organizational Relationships</w:t>
      </w:r>
    </w:p>
    <w:p w:rsidR="00834132" w:rsidRPr="00AE4FAB" w:rsidRDefault="00834132" w:rsidP="00D22767">
      <w:pPr>
        <w:autoSpaceDE w:val="0"/>
        <w:autoSpaceDN w:val="0"/>
        <w:adjustRightInd w:val="0"/>
        <w:jc w:val="center"/>
        <w:rPr>
          <w:rStyle w:val="Authorname"/>
          <w:rFonts w:cs="Times New Roman"/>
          <w:b/>
          <w:szCs w:val="24"/>
        </w:rPr>
      </w:pPr>
    </w:p>
    <w:p w:rsidR="00D22767" w:rsidRPr="005C5A29" w:rsidRDefault="00D22767" w:rsidP="00D22767">
      <w:pPr>
        <w:autoSpaceDE w:val="0"/>
        <w:autoSpaceDN w:val="0"/>
        <w:adjustRightInd w:val="0"/>
        <w:jc w:val="center"/>
        <w:rPr>
          <w:rStyle w:val="Authorname"/>
          <w:rFonts w:cs="Times New Roman"/>
          <w:b/>
          <w:sz w:val="22"/>
          <w:lang w:val="nl-NL"/>
        </w:rPr>
      </w:pPr>
      <w:r w:rsidRPr="00F77CA9">
        <w:rPr>
          <w:rStyle w:val="Authorname"/>
          <w:rFonts w:cs="Times New Roman"/>
          <w:b/>
          <w:sz w:val="22"/>
          <w:lang w:val="nl-NL"/>
        </w:rPr>
        <w:t>Regien Sumo</w:t>
      </w:r>
      <w:r w:rsidRPr="00AE4FAB">
        <w:rPr>
          <w:rStyle w:val="FootnoteReference"/>
          <w:b/>
          <w:color w:val="000000"/>
          <w:sz w:val="22"/>
        </w:rPr>
        <w:footnoteReference w:id="1"/>
      </w:r>
      <w:r w:rsidRPr="00F77CA9">
        <w:rPr>
          <w:rStyle w:val="Authorname"/>
          <w:rFonts w:cs="Times New Roman"/>
          <w:b/>
          <w:sz w:val="22"/>
          <w:lang w:val="nl-NL"/>
        </w:rPr>
        <w:t>, Wendy van der Valk</w:t>
      </w:r>
      <w:r w:rsidRPr="00AE4FAB">
        <w:rPr>
          <w:rStyle w:val="FootnoteReference"/>
          <w:b/>
          <w:color w:val="000000"/>
          <w:sz w:val="22"/>
        </w:rPr>
        <w:footnoteReference w:id="2"/>
      </w:r>
      <w:r w:rsidRPr="00F77CA9">
        <w:rPr>
          <w:rStyle w:val="Authorname"/>
          <w:rFonts w:cs="Times New Roman"/>
          <w:b/>
          <w:sz w:val="22"/>
          <w:lang w:val="nl-NL"/>
        </w:rPr>
        <w:t>, Arjan J. van Weele</w:t>
      </w:r>
      <w:r w:rsidRPr="00AE4FAB">
        <w:rPr>
          <w:rStyle w:val="FootnoteReference"/>
          <w:b/>
          <w:color w:val="000000"/>
          <w:sz w:val="22"/>
        </w:rPr>
        <w:footnoteReference w:id="3"/>
      </w:r>
      <w:r w:rsidR="005C5A29">
        <w:rPr>
          <w:rStyle w:val="Authorname"/>
          <w:rFonts w:cs="Times New Roman"/>
          <w:b/>
          <w:sz w:val="22"/>
          <w:lang w:val="nl-NL"/>
        </w:rPr>
        <w:t>, Christoph Bode</w:t>
      </w:r>
      <w:r w:rsidR="005C5A29" w:rsidRPr="005C5A29">
        <w:rPr>
          <w:vertAlign w:val="superscript"/>
          <w:lang w:val="nl-NL"/>
        </w:rPr>
        <w:t>4</w:t>
      </w:r>
    </w:p>
    <w:p w:rsidR="00D22767" w:rsidRPr="005C5A29" w:rsidRDefault="00D22767" w:rsidP="00D22767">
      <w:pPr>
        <w:rPr>
          <w:rFonts w:cs="Times New Roman"/>
          <w:b/>
          <w:lang w:val="nl-NL"/>
        </w:rPr>
      </w:pPr>
    </w:p>
    <w:p w:rsidR="00D22767" w:rsidRPr="00AE4FAB" w:rsidRDefault="00834132" w:rsidP="00B7734B">
      <w:pPr>
        <w:ind w:right="357" w:firstLine="0"/>
        <w:rPr>
          <w:rFonts w:cs="Times New Roman"/>
          <w:b/>
          <w:sz w:val="20"/>
          <w:szCs w:val="20"/>
        </w:rPr>
      </w:pPr>
      <w:r w:rsidRPr="00AE4FAB">
        <w:rPr>
          <w:rFonts w:cs="Times New Roman"/>
          <w:b/>
          <w:sz w:val="20"/>
          <w:szCs w:val="20"/>
        </w:rPr>
        <w:t>Abstract</w:t>
      </w:r>
    </w:p>
    <w:p w:rsidR="006A0E38" w:rsidRDefault="006A0E38" w:rsidP="006A0E38">
      <w:pPr>
        <w:pStyle w:val="CommentText"/>
        <w:ind w:firstLine="0"/>
        <w:rPr>
          <w:sz w:val="22"/>
          <w:szCs w:val="22"/>
          <w:lang w:val="en-GB"/>
        </w:rPr>
      </w:pPr>
      <w:r>
        <w:rPr>
          <w:sz w:val="22"/>
          <w:szCs w:val="22"/>
          <w:lang w:val="en-GB"/>
        </w:rPr>
        <w:t>Anecdotal evidence suggests that performance-based contracts (PBC) may positively affect innovation in inter-organizational relationships, but our knowledge about the underlying mechanisms is limited. This study combines transaction economics and agency theory to devise and test a proposed theoretical model that explains how and under what conditions PBCs</w:t>
      </w:r>
      <w:r w:rsidRPr="00057D7A">
        <w:rPr>
          <w:sz w:val="22"/>
          <w:szCs w:val="22"/>
          <w:lang w:val="en-GB"/>
        </w:rPr>
        <w:t xml:space="preserve"> </w:t>
      </w:r>
      <w:r>
        <w:rPr>
          <w:sz w:val="22"/>
          <w:szCs w:val="22"/>
          <w:lang w:val="en-GB"/>
        </w:rPr>
        <w:t>lead to certain innovation outcomes.</w:t>
      </w:r>
      <w:r w:rsidRPr="006A0E38">
        <w:rPr>
          <w:sz w:val="22"/>
          <w:szCs w:val="22"/>
          <w:lang w:val="en-US"/>
        </w:rPr>
        <w:t xml:space="preserve"> Specifically, we investigate how the two main features of PBCs – low term specificity and rewards being tied to performance – affect incremental and radical innovation using data from 106 inter-organizational relationships in the Dutch maintenance industry. We distinguish between </w:t>
      </w:r>
      <w:r w:rsidRPr="006A0E38">
        <w:rPr>
          <w:color w:val="000000"/>
          <w:sz w:val="22"/>
          <w:szCs w:val="22"/>
          <w:lang w:val="en-US"/>
        </w:rPr>
        <w:t xml:space="preserve">incremental and radical innovation, to empirically validate the premise that antecedents that are favorable for one type of innovation may be unfavorable for the other. </w:t>
      </w:r>
      <w:r w:rsidRPr="006A0E38">
        <w:rPr>
          <w:sz w:val="22"/>
          <w:szCs w:val="22"/>
          <w:lang w:val="en-US"/>
        </w:rPr>
        <w:t xml:space="preserve">We find that term specificity has an inverse U-shaped effect on incremental and a negative effect on radical innovation. Furthermore, pay-for-performance has a stronger positive effect on radical than on incremental innovation. Finally, opposite to our expectations, we find a positive moderation effect of the partner's degree of risk-aversion on the </w:t>
      </w:r>
      <w:r w:rsidRPr="00F106FA">
        <w:rPr>
          <w:sz w:val="22"/>
          <w:szCs w:val="22"/>
          <w:lang w:val="en-GB"/>
        </w:rPr>
        <w:t>relationship between pay-for-performanc</w:t>
      </w:r>
      <w:r>
        <w:rPr>
          <w:sz w:val="22"/>
          <w:szCs w:val="22"/>
          <w:lang w:val="en-GB"/>
        </w:rPr>
        <w:t>e and both types of innovation. We also found that this moderation effect is stronger for radical than for incremental innovation.</w:t>
      </w:r>
    </w:p>
    <w:p w:rsidR="00D22767" w:rsidRDefault="00D22767" w:rsidP="00D22767">
      <w:pPr>
        <w:ind w:left="357" w:right="357" w:firstLine="0"/>
        <w:rPr>
          <w:rFonts w:cs="Times New Roman"/>
          <w:sz w:val="20"/>
          <w:szCs w:val="20"/>
          <w:lang w:val="en-GB"/>
        </w:rPr>
      </w:pPr>
    </w:p>
    <w:p w:rsidR="006A0E38" w:rsidRPr="00AE4FAB" w:rsidRDefault="006A0E38" w:rsidP="006A0E38">
      <w:pPr>
        <w:spacing w:line="480" w:lineRule="auto"/>
        <w:ind w:firstLine="0"/>
        <w:rPr>
          <w:rFonts w:cs="Times New Roman"/>
          <w:sz w:val="20"/>
          <w:szCs w:val="20"/>
        </w:rPr>
      </w:pPr>
      <w:r w:rsidRPr="00AE4FAB">
        <w:rPr>
          <w:rFonts w:cs="Times New Roman"/>
          <w:b/>
          <w:sz w:val="20"/>
          <w:szCs w:val="20"/>
        </w:rPr>
        <w:t xml:space="preserve">Keywords: </w:t>
      </w:r>
      <w:r w:rsidRPr="00AE4FAB">
        <w:rPr>
          <w:rFonts w:cs="Times New Roman"/>
          <w:sz w:val="20"/>
          <w:szCs w:val="20"/>
        </w:rPr>
        <w:t>Contracts, innovation, inter-organizational relationships, performance-based contracts</w:t>
      </w:r>
    </w:p>
    <w:p w:rsidR="00AE4FAB" w:rsidRPr="008E72A8" w:rsidRDefault="006A0E38" w:rsidP="00AE4FAB">
      <w:pPr>
        <w:pStyle w:val="Heading1"/>
        <w:rPr>
          <w:sz w:val="22"/>
          <w:szCs w:val="22"/>
        </w:rPr>
      </w:pPr>
      <w:r>
        <w:rPr>
          <w:sz w:val="22"/>
          <w:szCs w:val="22"/>
        </w:rPr>
        <w:t>I</w:t>
      </w:r>
      <w:r w:rsidR="00AE4FAB" w:rsidRPr="008E72A8">
        <w:rPr>
          <w:sz w:val="22"/>
          <w:szCs w:val="22"/>
        </w:rPr>
        <w:t>ntroduction</w:t>
      </w:r>
    </w:p>
    <w:p w:rsidR="00CC756C" w:rsidRPr="00CC756C" w:rsidRDefault="00CC756C" w:rsidP="00CC756C">
      <w:pPr>
        <w:rPr>
          <w:sz w:val="22"/>
        </w:rPr>
      </w:pPr>
      <w:r w:rsidRPr="00CC756C">
        <w:rPr>
          <w:sz w:val="22"/>
        </w:rPr>
        <w:t xml:space="preserve">Formal governance mechanisms (i.e., contracts such as fixed price, cost plus, and performance-based contracts) seem important in safeguarding inter-organizational collaborations from opportunistic behavior and failures. However, compared to studies into relational governance, research on performance effects of contracts is limited (Schepker et al., 2014), especially in relation to innovation, a fundamental yet under-researched element of the value-creating potential of inter-organizational relationships (IORs) </w:t>
      </w:r>
      <w:r w:rsidRPr="00CC756C">
        <w:rPr>
          <w:sz w:val="22"/>
        </w:rPr>
        <w:fldChar w:fldCharType="begin"/>
      </w:r>
      <w:r w:rsidRPr="00CC756C">
        <w:rPr>
          <w:sz w:val="22"/>
        </w:rPr>
        <w:instrText xml:space="preserve"> ADDIN EN.CITE &lt;EndNote&gt;&lt;Cite&gt;&lt;Author&gt;Adams&lt;/Author&gt;&lt;Year&gt;2006&lt;/Year&gt;&lt;RecNum&gt;1554&lt;/RecNum&gt;&lt;DisplayText&gt;(Adams et al., 2006; Faems et al., 2005)&lt;/DisplayText&gt;&lt;record&gt;&lt;rec-number&gt;1554&lt;/rec-number&gt;&lt;foreign-keys&gt;&lt;key app="EN" db-id="29axv22zge9wf9edtz25tr5w9tdf5psxstde"&gt;1554&lt;/key&gt;&lt;/foreign-keys&gt;&lt;ref-type name="Journal Article"&gt;17&lt;/ref-type&gt;&lt;contributors&gt;&lt;authors&gt;&lt;author&gt;Adams, R.&lt;/author&gt;&lt;author&gt;Bessant, J.&lt;/author&gt;&lt;author&gt;Phelps, R.&lt;/author&gt;&lt;/authors&gt;&lt;/contributors&gt;&lt;titles&gt;&lt;title&gt;Innovation management measure&lt;/title&gt;&lt;secondary-title&gt;International Journal of Management Reviews&lt;/secondary-title&gt;&lt;/titles&gt;&lt;periodical&gt;&lt;full-title&gt;International Journal of Management Reviews&lt;/full-title&gt;&lt;/periodical&gt;&lt;pages&gt;21-47&lt;/pages&gt;&lt;volume&gt;8&lt;/volume&gt;&lt;number&gt;1&lt;/number&gt;&lt;dates&gt;&lt;year&gt;2006&lt;/year&gt;&lt;/dates&gt;&lt;urls&gt;&lt;/urls&gt;&lt;/record&gt;&lt;/Cite&gt;&lt;Cite&gt;&lt;Author&gt;Faems&lt;/Author&gt;&lt;Year&gt;2005&lt;/Year&gt;&lt;RecNum&gt;1396&lt;/RecNum&gt;&lt;record&gt;&lt;rec-number&gt;1396&lt;/rec-number&gt;&lt;foreign-keys&gt;&lt;key app="EN" db-id="29axv22zge9wf9edtz25tr5w9tdf5psxstde"&gt;1396&lt;/key&gt;&lt;/foreign-keys&gt;&lt;ref-type name="Journal Article"&gt;17&lt;/ref-type&gt;&lt;contributors&gt;&lt;authors&gt;&lt;author&gt;Faems, D.&lt;/author&gt;&lt;author&gt;Van Looy, B.&lt;/author&gt;&lt;author&gt;Debackere, K.&lt;/author&gt;&lt;/authors&gt;&lt;/contributors&gt;&lt;titles&gt;&lt;title&gt;Interorganizational collabotion and innovation: Toward a portfolio approach&lt;/title&gt;&lt;secondary-title&gt;TheJournal of Product Innovation&lt;/secondary-title&gt;&lt;/titles&gt;&lt;pages&gt;238-250&lt;/pages&gt;&lt;volume&gt;22&lt;/volume&gt;&lt;number&gt;2&lt;/number&gt;&lt;dates&gt;&lt;year&gt;2005&lt;/year&gt;&lt;/dates&gt;&lt;urls&gt;&lt;/urls&gt;&lt;/record&gt;&lt;/Cite&gt;&lt;/EndNote&gt;</w:instrText>
      </w:r>
      <w:r w:rsidRPr="00CC756C">
        <w:rPr>
          <w:sz w:val="22"/>
        </w:rPr>
        <w:fldChar w:fldCharType="separate"/>
      </w:r>
      <w:r w:rsidRPr="00CC756C">
        <w:rPr>
          <w:noProof/>
          <w:sz w:val="22"/>
        </w:rPr>
        <w:t>(</w:t>
      </w:r>
      <w:hyperlink w:anchor="_ENREF_1" w:tooltip="Adams, 2006 #1554" w:history="1">
        <w:r w:rsidRPr="00CC756C">
          <w:rPr>
            <w:noProof/>
            <w:sz w:val="22"/>
          </w:rPr>
          <w:t>Adams et al., 2006</w:t>
        </w:r>
      </w:hyperlink>
      <w:r w:rsidRPr="00CC756C">
        <w:rPr>
          <w:noProof/>
          <w:sz w:val="22"/>
        </w:rPr>
        <w:t xml:space="preserve">; </w:t>
      </w:r>
      <w:hyperlink w:anchor="_ENREF_18" w:tooltip="Faems, 2005 #1396" w:history="1">
        <w:r w:rsidRPr="00CC756C">
          <w:rPr>
            <w:noProof/>
            <w:sz w:val="22"/>
          </w:rPr>
          <w:t>Faems et al., 2005</w:t>
        </w:r>
      </w:hyperlink>
      <w:r w:rsidRPr="00CC756C">
        <w:rPr>
          <w:noProof/>
          <w:sz w:val="22"/>
        </w:rPr>
        <w:t xml:space="preserve">; </w:t>
      </w:r>
      <w:hyperlink w:anchor="_ENREF_82" w:tooltip="Wang, 2011 #1399" w:history="1">
        <w:r w:rsidRPr="00CC756C">
          <w:rPr>
            <w:noProof/>
            <w:sz w:val="22"/>
          </w:rPr>
          <w:t>Wang et al., 2011</w:t>
        </w:r>
      </w:hyperlink>
      <w:r w:rsidRPr="00CC756C">
        <w:rPr>
          <w:noProof/>
          <w:sz w:val="22"/>
        </w:rPr>
        <w:t>)</w:t>
      </w:r>
      <w:r w:rsidRPr="00CC756C">
        <w:rPr>
          <w:sz w:val="22"/>
        </w:rPr>
        <w:fldChar w:fldCharType="end"/>
      </w:r>
      <w:r w:rsidRPr="00CC756C">
        <w:rPr>
          <w:sz w:val="22"/>
          <w:lang w:val="en-GB"/>
        </w:rPr>
        <w:t>.</w:t>
      </w:r>
      <w:r w:rsidRPr="00CC756C">
        <w:rPr>
          <w:sz w:val="22"/>
        </w:rPr>
        <w:t xml:space="preserve"> The research that does exist is largely inconclusive: while some authors claim that contracts positively affect innovation </w:t>
      </w:r>
      <w:r w:rsidRPr="00CC756C">
        <w:rPr>
          <w:sz w:val="22"/>
        </w:rPr>
        <w:fldChar w:fldCharType="begin"/>
      </w:r>
      <w:r w:rsidRPr="00CC756C">
        <w:rPr>
          <w:sz w:val="22"/>
        </w:rPr>
        <w:instrText xml:space="preserve"> ADDIN ZOTERO_ITEM CSL_CITATION {"citationID":"11lhldgsba","properties":{"formattedCitation":"(Johnson &amp; Medcof, 2007; Wang, Yeung, &amp; Zhang, 2011)","plainCitation":"(Johnson &amp; Medcof, 2007; Wang, Yeung, &amp; Zhang, 2011)"},"citationItems":[{"id":34,"uris":["http://zotero.org/users/local/S7r2cPod/items/ZDZ7UX7Z"],"uri":["http://zotero.org/users/local/S7r2cPod/items/ZDZ7UX7Z"],"itemData":{"id":34,"type":"article-journal","title":"Motivating proactive subsidiary innovation: Agent-based theory and socialization models in global R&amp;D","container-title":"Journal of International Management","page":"472-487","volume":"13","issue":"4","source":"ScienceDirect","abstract":"An integration of agency theory and socialization models is developed and used to explain the types of governance and organizational structures associated with self-initiated subsidiary innovation. This theorizing suggests that: 1) The hub structure is the greatest user of behavior-based contracting and engenders the fewest self-initiated innovations; 2) The federation structure is the greatest user of outcome-based contracting and engenders the most self-initiated innovations, but these are primarily oriented to business level strategy rather than corporate; and, 3) The network structure is the greatest user of goal internalization and is the strongest generator of self-initiated innovations which are oriented to corporate-level strategy. The empirical evidence from extant studies of other researchers in the field is consistent with these propositions. Implications for management practice, research and theory are discussed in the paper.","ISSN":"1075-4253","shortTitle":"Motivating proactive subsidiary innovation","journalAbbreviation":"Journal of International Management","author":[{"family":"Johnson","given":"William H.A."},{"family":"Medcof","given":"John W."}],"issued":{"date-parts":[["2007",12]]},"accessed":{"date-parts":[["2013",5,15]]}}},{"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CC756C">
        <w:rPr>
          <w:sz w:val="22"/>
        </w:rPr>
        <w:fldChar w:fldCharType="separate"/>
      </w:r>
      <w:r w:rsidRPr="00CC756C">
        <w:rPr>
          <w:sz w:val="22"/>
        </w:rPr>
        <w:t>(Johnson &amp; Medcof, 2007; Wang, Yeung, &amp; Zhang, 2011)</w:t>
      </w:r>
      <w:r w:rsidRPr="00CC756C">
        <w:rPr>
          <w:sz w:val="22"/>
        </w:rPr>
        <w:fldChar w:fldCharType="end"/>
      </w:r>
      <w:r w:rsidRPr="00CC756C">
        <w:rPr>
          <w:sz w:val="22"/>
        </w:rPr>
        <w:t xml:space="preserve">, others have found this effect to be absent </w:t>
      </w:r>
      <w:r w:rsidRPr="00CC756C">
        <w:rPr>
          <w:sz w:val="22"/>
        </w:rPr>
        <w:fldChar w:fldCharType="begin"/>
      </w:r>
      <w:r w:rsidRPr="00CC756C">
        <w:rPr>
          <w:sz w:val="22"/>
        </w:rPr>
        <w:instrText xml:space="preserve"> ADDIN ZOTERO_ITEM CSL_CITATION {"citationID":"2hjljpin28","properties":{"formattedCitation":"(Gopal &amp; Koka, 2010)","plainCitation":"(Gopal &amp; Koka, 2010)"},"citationItems":[{"id":400,"uris":["http://zotero.org/users/local/S7r2cPod/items/44XMHJWF"],"uri":["http://zotero.org/users/local/S7r2cPod/items/44XMHJWF"],"itemData":{"id":400,"type":"article-journal","title":"The role of contracts on quality and returns to quality in offshore software development outsourcing","container-title":"Decision Sciences","page":"491–516","volume":"41","issue":"3","source":"Wiley Online Library","abstract":"In this study, we examine how the different incentive structures inherent in two primary contract types—time and materials (T&amp;M) and fixed price (FP)—influence the quality provided by the vendor in the software development outsourcing industry. We argue that the incentive structure of FP contracts motivates a vendor to be more efficient in the software development process, which results in higher quality as compared to projects executed under a T&amp;M contract. We thus argue that vendors consistently staff FP projects with better trained personnel because they face the most risk on these contracts, resulting in better outcomes on these projects. We extend our analysis to propose that providing higher quality is associated with higher profit margins for the vendor only for FP contracts. We develop and test these hypotheses on data collected from 100 software projects completed by a leading Indian offshore vendor. The results provide strong support for our fundamental thesis that the drivers of and returns to quality vary by contract type. We discuss the implications of our research for both researchers and practitioners.","ISSN":"1540-5915","language":"en","author":[{"family":"Gopal","given":"Anandasivam"},{"family":"Koka","given":"Balaji R."}],"issued":{"date-parts":[["2010"]]},"accessed":{"date-parts":[["2013",7,5]]}}}],"schema":"https://github.com/citation-style-language/schema/raw/master/csl-citation.json"} </w:instrText>
      </w:r>
      <w:r w:rsidRPr="00CC756C">
        <w:rPr>
          <w:sz w:val="22"/>
        </w:rPr>
        <w:fldChar w:fldCharType="separate"/>
      </w:r>
      <w:r w:rsidRPr="00CC756C">
        <w:rPr>
          <w:sz w:val="22"/>
        </w:rPr>
        <w:t>(Gopal &amp; Koka, 2010)</w:t>
      </w:r>
      <w:r w:rsidRPr="00CC756C">
        <w:rPr>
          <w:sz w:val="22"/>
        </w:rPr>
        <w:fldChar w:fldCharType="end"/>
      </w:r>
      <w:r w:rsidRPr="00CC756C">
        <w:rPr>
          <w:sz w:val="22"/>
        </w:rPr>
        <w:t xml:space="preserve">. </w:t>
      </w:r>
    </w:p>
    <w:p w:rsidR="00CC756C" w:rsidRPr="00CC756C" w:rsidRDefault="00CC756C" w:rsidP="00CC756C">
      <w:pPr>
        <w:ind w:firstLine="720"/>
        <w:rPr>
          <w:sz w:val="22"/>
        </w:rPr>
      </w:pPr>
      <w:r w:rsidRPr="00CC756C">
        <w:rPr>
          <w:sz w:val="22"/>
        </w:rPr>
        <w:t xml:space="preserve">We therefore study the effects of contracts on innovation, more specifically, the effects of Performance-Based Contracts (PBCs). A PBC is a contract that arranges for the </w:t>
      </w:r>
      <w:r w:rsidRPr="00CC756C">
        <w:rPr>
          <w:i/>
          <w:sz w:val="22"/>
        </w:rPr>
        <w:t>outcome</w:t>
      </w:r>
      <w:r w:rsidRPr="00CC756C">
        <w:rPr>
          <w:sz w:val="22"/>
        </w:rPr>
        <w:t xml:space="preserve"> of the transaction rather than prescribing how to perform the transaction or which resources to use </w:t>
      </w:r>
      <w:r w:rsidRPr="00CC756C">
        <w:rPr>
          <w:sz w:val="22"/>
        </w:rPr>
        <w:fldChar w:fldCharType="begin"/>
      </w:r>
      <w:r w:rsidRPr="00CC756C">
        <w:rPr>
          <w:sz w:val="22"/>
        </w:rPr>
        <w:instrText xml:space="preserve"> ADDIN ZOTERO_ITEM CSL_CITATION {"citationID":"jstbr6dql","properties":{"formattedCitation":"(Kim, Cohen, &amp; Netessine, 2007)","plainCitation":"(Kim, Cohen, &amp; Netessine, 2007)"},"citationItems":[{"id":199,"uris":["http://zotero.org/users/local/S7r2cPod/items/WZP3U6V9"],"uri":["http://zotero.org/users/local/S7r2cPod/items/WZP3U6V9"],"itemData":{"id":199,"type":"article-journal","title":"Performance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A."},{"family":"Netessine","given":"Serguei"}],"issued":{"date-parts":[["2007",1,12]]},"accessed":{"date-parts":[["2013",5,15]]}}}],"schema":"https://github.com/citation-style-language/schema/raw/master/csl-citation.json"} </w:instrText>
      </w:r>
      <w:r w:rsidRPr="00CC756C">
        <w:rPr>
          <w:sz w:val="22"/>
        </w:rPr>
        <w:fldChar w:fldCharType="separate"/>
      </w:r>
      <w:r w:rsidRPr="00CC756C">
        <w:rPr>
          <w:sz w:val="22"/>
        </w:rPr>
        <w:t>(Kim, Cohen, &amp; Netessine, 2007)</w:t>
      </w:r>
      <w:r w:rsidRPr="00CC756C">
        <w:rPr>
          <w:sz w:val="22"/>
        </w:rPr>
        <w:fldChar w:fldCharType="end"/>
      </w:r>
      <w:r w:rsidRPr="00CC756C">
        <w:rPr>
          <w:sz w:val="22"/>
        </w:rPr>
        <w:t xml:space="preserve">. PBCs are characterized by low term specificity (i.e., contractual clauses related to obligations and behaviors are not specified in detail) and the partner’s rewards being linked to the extent to which outcomes are achieved. The reason for focusing on this type of contract is twofold. First, PBCs have been suggested to positively affect innovation </w:t>
      </w:r>
      <w:r w:rsidRPr="00CC756C">
        <w:rPr>
          <w:sz w:val="22"/>
        </w:rPr>
        <w:fldChar w:fldCharType="begin"/>
      </w:r>
      <w:r w:rsidRPr="00CC756C">
        <w:rPr>
          <w:sz w:val="22"/>
        </w:rPr>
        <w:instrText xml:space="preserve"> ADDIN ZOTERO_ITEM CSL_CITATION {"citationID":"2o9hgitbo2","properties":{"formattedCitation":"(Kim et al., 2007; Martin, 2002; Ng &amp; Nudurupati, 2010)","plainCitation":"(Kim et al., 2007; Martin, 2002; Ng &amp; Nudurupati, 2010)"},"citationItems":[{"id":199,"uris":["http://zotero.org/users/local/S7r2cPod/items/WZP3U6V9"],"uri":["http://zotero.org/users/local/S7r2cPod/items/WZP3U6V9"],"itemData":{"id":199,"type":"article-journal","title":"Performance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id":403,"uris":["http://zotero.org/users/local/S7r2cPod/items/ZX99BQ48"],"uri":["http://zotero.org/users/local/S7r2cPod/items/ZX99BQ48"],"itemData":{"id":403,"type":"article-journal","title":"Performance-based contracting for human services: Lessons for public procurement?","container-title":"Journal of Public Procurement","page":"55-71","volume":"2","issue":"1","source":"ProQuest","abstract":"This article looks at performance-based contracting by selected state human service agencies, the approaches being used and the results being achieved. It is concluded that performance-based contracting for human services does not appear to be accomplishing its objective: changing the behavior of contractors to focus more on performance. The lessons learned by state human service agencies appear to have relevance for larger issues of public procurement.","ISSN":"15350118","shortTitle":"Performance-based contracting for human services","language":"English","author":[{"family":"Martin","given":"Lawrence L."}],"issued":{"date-parts":[["2002"]]},"accessed":{"date-parts":[["2013",7,5]]}}},{"id":248,"uris":["http://zotero.org/users/local/S7r2cPod/items/5TH3CUGD"],"uri":["http://zotero.org/users/local/S7r2cPod/items/5TH3CUGD"],"itemData":{"id":248,"type":"article-journal","title":"Outcome-based service contracts in the defence industry – mitigating the challenges","container-title":"Journal of Service Management","page":"656-674","volume":"21","issue":"5","source":"Emerald Publishing","ISSN":"1757-5818","author":[{"family":"Ng","given":"Irene C. L."},{"family":"Nudurupati","given":"Sai S."}],"issued":{"date-parts":[["2010",10,12]]},"accessed":{"date-parts":[["2013",5,15]]}}}],"schema":"https://github.com/citation-style-language/schema/raw/master/csl-citation.json"} </w:instrText>
      </w:r>
      <w:r w:rsidRPr="00CC756C">
        <w:rPr>
          <w:sz w:val="22"/>
        </w:rPr>
        <w:fldChar w:fldCharType="separate"/>
      </w:r>
      <w:r w:rsidRPr="00CC756C">
        <w:rPr>
          <w:sz w:val="22"/>
        </w:rPr>
        <w:t>(Kim et al., 2007; Martin, 2002; Ng &amp; Nudurupati, 2010)</w:t>
      </w:r>
      <w:r w:rsidRPr="00CC756C">
        <w:rPr>
          <w:sz w:val="22"/>
        </w:rPr>
        <w:fldChar w:fldCharType="end"/>
      </w:r>
      <w:r w:rsidRPr="00CC756C">
        <w:rPr>
          <w:sz w:val="22"/>
        </w:rPr>
        <w:t xml:space="preserve"> , but this argu</w:t>
      </w:r>
      <w:bookmarkStart w:id="0" w:name="_GoBack"/>
      <w:bookmarkEnd w:id="0"/>
      <w:r w:rsidRPr="00CC756C">
        <w:rPr>
          <w:sz w:val="22"/>
        </w:rPr>
        <w:t xml:space="preserve">ment lacks empirical validation. Second, as PBCs are increasingly being adopted by practitioners </w:t>
      </w:r>
      <w:r w:rsidRPr="00CC756C">
        <w:rPr>
          <w:sz w:val="22"/>
        </w:rPr>
        <w:fldChar w:fldCharType="begin"/>
      </w:r>
      <w:r w:rsidRPr="00CC756C">
        <w:rPr>
          <w:sz w:val="22"/>
        </w:rPr>
        <w:instrText xml:space="preserve"> ADDIN ZOTERO_ITEM CSL_CITATION {"citationID":"20ubm8ud1p","properties":{"formattedCitation":"(Hypko, Tilebein, &amp; Gleich, 2010; Martin, 2002)","plainCitation":"(Hypko, Tilebein, &amp; Gleich, 2010; Martin, 2002)"},"citationItems":[{"id":191,"uris":["http://zotero.org/users/local/S7r2cPod/items/T8NXUCTZ"],"uri":["http://zotero.org/users/local/S7r2cPod/items/T8NXUCTZ"],"itemData":{"id":191,"type":"article-journal","title":"Clarifying the concept of performance-based contracting in manufacturing industries: A research synthesis","container-title":"Journal of Service Management","page":"625-655","volume":"21","issue":"5","source":"Emerald Publishing","ISSN":"1757-5818","shortTitle":"Clarifying the concept of performance-based contracting in manufacturing industries","author":[{"family":"Hypko","given":"Phillipp"},{"family":"Tilebein","given":"Meike"},{"family":"Gleich","given":"Ronald"}],"issued":{"date-parts":[["2010",10,12]]},"accessed":{"date-parts":[["2013",5,15]]}}},{"id":403,"uris":["http://zotero.org/users/local/S7r2cPod/items/ZX99BQ48"],"uri":["http://zotero.org/users/local/S7r2cPod/items/ZX99BQ48"],"itemData":{"id":403,"type":"article-journal","title":"Performance-based contracting for human services: Lessons for public procurement?","container-title":"Journal of Public Procurement","page":"55-71","volume":"2","issue":"1","source":"ProQuest","abstract":"This article looks at performance-based contracting by selected state human service agencies, the approaches being used and the results being achieved. It is concluded that performance-based contracting for human services does not appear to be accomplishing its objective: changing the behavior of contractors to focus more on performance. The lessons learned by state human service agencies appear to have relevance for larger issues of public procurement.","ISSN":"15350118","shortTitle":"Performance-based contracting for human services","language":"English","author":[{"family":"Martin","given":"Lawrence L."}],"issued":{"date-parts":[["2002"]]},"accessed":{"date-parts":[["2013",7,5]]}}}],"schema":"https://github.com/citation-style-language/schema/raw/master/csl-citation.json"} </w:instrText>
      </w:r>
      <w:r w:rsidRPr="00CC756C">
        <w:rPr>
          <w:sz w:val="22"/>
        </w:rPr>
        <w:fldChar w:fldCharType="separate"/>
      </w:r>
      <w:r w:rsidRPr="00CC756C">
        <w:rPr>
          <w:sz w:val="22"/>
        </w:rPr>
        <w:t>(Hypko, Tilebein, &amp; Gleich, 2010; Martin, 2002)</w:t>
      </w:r>
      <w:r w:rsidRPr="00CC756C">
        <w:rPr>
          <w:sz w:val="22"/>
        </w:rPr>
        <w:fldChar w:fldCharType="end"/>
      </w:r>
      <w:r w:rsidRPr="00CC756C">
        <w:rPr>
          <w:sz w:val="22"/>
        </w:rPr>
        <w:t xml:space="preserve"> with varying degrees of success, an empirical investigation of their effects is also needed to guide effective contracting behaviour. </w:t>
      </w:r>
    </w:p>
    <w:p w:rsidR="00CC756C" w:rsidRPr="00CC756C" w:rsidRDefault="00CC756C" w:rsidP="00CC756C">
      <w:pPr>
        <w:ind w:firstLine="720"/>
        <w:rPr>
          <w:sz w:val="22"/>
        </w:rPr>
      </w:pPr>
      <w:r w:rsidRPr="00CC756C">
        <w:rPr>
          <w:sz w:val="22"/>
        </w:rPr>
        <w:t xml:space="preserve">Our analysis of PBCs is informed by the literature on incomplete contracting. Like any contract, PBCs are usually incomplete in that they do not include contractual terms for all possible </w:t>
      </w:r>
      <w:r w:rsidRPr="00CC756C">
        <w:rPr>
          <w:sz w:val="22"/>
        </w:rPr>
        <w:lastRenderedPageBreak/>
        <w:t xml:space="preserve">future events </w:t>
      </w:r>
      <w:r w:rsidRPr="00CC756C">
        <w:rPr>
          <w:sz w:val="22"/>
        </w:rPr>
        <w:fldChar w:fldCharType="begin"/>
      </w:r>
      <w:r w:rsidRPr="00CC756C">
        <w:rPr>
          <w:sz w:val="22"/>
        </w:rPr>
        <w:instrText xml:space="preserve"> ADDIN ZOTERO_ITEM CSL_CITATION {"citationID":"2kc2id8b26","properties":{"formattedCitation":"(Saussier, 2000)","plainCitation":"(Saussier, 2000)"},"citationItems":[{"id":268,"uris":["http://zotero.org/users/local/S7r2cPod/items/8HEAA8S4"],"uri":["http://zotero.org/users/local/S7r2cPod/items/8HEAA8S4"],"itemData":{"id":268,"type":"article-journal","title":"Transaction costs and contractual incompleteness: The case of Electricite de France","container-title":"Journal of Economic Behavior &amp; Organization","page":"189-206","volume":"42","issue":"2","source":"RePEc - IDEAS","abstract":"No abstract is available for this item.","shortTitle":"Transaction costs and contractual incompleteness","author":[{"family":"Saussier","given":"Stephane"}],"issued":{"date-parts":[["2000"]]},"accessed":{"date-parts":[["2013",5,15]]}}}],"schema":"https://github.com/citation-style-language/schema/raw/master/csl-citation.json"} </w:instrText>
      </w:r>
      <w:r w:rsidRPr="00CC756C">
        <w:rPr>
          <w:sz w:val="22"/>
        </w:rPr>
        <w:fldChar w:fldCharType="separate"/>
      </w:r>
      <w:r w:rsidRPr="00CC756C">
        <w:rPr>
          <w:sz w:val="22"/>
        </w:rPr>
        <w:t>(Saussier, 2000)</w:t>
      </w:r>
      <w:r w:rsidRPr="00CC756C">
        <w:rPr>
          <w:sz w:val="22"/>
        </w:rPr>
        <w:fldChar w:fldCharType="end"/>
      </w:r>
      <w:r w:rsidRPr="00CC756C">
        <w:rPr>
          <w:sz w:val="22"/>
        </w:rPr>
        <w:t xml:space="preserve">, simply because these events cannot be foreseen or efficiently described </w:t>
      </w:r>
      <w:r w:rsidRPr="00CC756C">
        <w:rPr>
          <w:sz w:val="22"/>
        </w:rPr>
        <w:fldChar w:fldCharType="begin"/>
      </w:r>
      <w:r w:rsidRPr="00CC756C">
        <w:rPr>
          <w:sz w:val="22"/>
        </w:rPr>
        <w:instrText xml:space="preserve"> ADDIN ZOTERO_ITEM CSL_CITATION {"citationID":"7nv3p9euj","properties":{"formattedCitation":"(Hart &amp; Moore, 1999; Mayer &amp; Argyres, 2004)","plainCitation":"(Hart &amp; Moore, 1999; Mayer &amp; Argyres, 2004)"},"citationItems":[{"id":531,"uris":["http://zotero.org/users/local/S7r2cPod/items/JBFQ2NFJ"],"uri":["http://zotero.org/users/local/S7r2cPod/items/JBFQ2NFJ"],"itemData":{"id":531,"type":"article-journal","title":"Foundations of incomplete contracts","container-title":"Review of Economic Studies","page":"115-38","volume":"66","issue":"1","source":"RePEc - IDEAS","abstract":"In the last few years, a new area has emerged in economic theory, which goes under the heading of 'incomplete contracting.' However, almost since its inception, the theory has been under attack for its lack of rigorous foundations. In this paper, the authors evaluate some of the criticisms that have been made of the theory, in particular, those in E. Maskin and J. Tirole (1999). In doing so, they develop a model that provides a rigorous foundation for the idea that contracts are incomplete. Copyright 1999 by The Review of Economic Studies Limited.","author":[{"family":"Hart","given":"Oliver"},{"family":"Moore","given":"John"}],"issued":{"date-parts":[["1999"]]},"accessed":{"date-parts":[["2014",1,15]],"season":"10:50:05"}}},{"id":237,"uris":["http://zotero.org/users/local/S7r2cPod/items/U9W4F4WV"],"uri":["http://zotero.org/users/local/S7r2cPod/items/U9W4F4WV"],"itemData":{"id":237,"type":"article-journal","title":"Learning to contract: Evidence from the personal computer industry","container-title":"Organization Science","page":"394-410","volume":"15","issue":"4","source":"orgsci.highwire.org","abstract":"Organizational forms involving more detailed contracts than are found in traditional spot market exchanges appear to be increasingly prevalent. There has been relatively little analysis, however, of the extent to which firms learn how to use contracts to manage their interfirm relationships over time. In this paper, we conduct a detailed case study of a time series of 11 contracts concluded during 1989–1997 between the same two partners, both of whom participate in the personal computer industry, to explore whether and how firms learn to contract. We find many changes to the structure of the contracts that cannot be fully explained by changes in the assets at risk in the relationship, and evidence that these changes are largely the result of processes in which the firms were learning how to work together, including learning how to contract with each other. The nature of this learning appears to have been quite incremental and local, that is, not very far sighted. We suggest how and when contracts might serve as repositories for knowledge about how to govern collaborations, and suggest some boundary conditions for this phenomenon. Our findings also provide implications for the debate about whether contracts have a positive or negative effect on interorganizational trust. We conclude with suggestions for future research.","ISSN":"1047-7039, 1526-5455","shortTitle":"Learning to Contract","journalAbbreviation":"Organization Science","language":"en","author":[{"family":"Mayer","given":"Kyle J."},{"family":"Argyres","given":"Nicholas S."}],"issued":{"date-parts":[["2004",1,7]]},"accessed":{"date-parts":[["2013",5,15]]}}}],"schema":"https://github.com/citation-style-language/schema/raw/master/csl-citation.json"} </w:instrText>
      </w:r>
      <w:r w:rsidRPr="00CC756C">
        <w:rPr>
          <w:sz w:val="22"/>
        </w:rPr>
        <w:fldChar w:fldCharType="separate"/>
      </w:r>
      <w:r w:rsidRPr="00CC756C">
        <w:rPr>
          <w:sz w:val="22"/>
        </w:rPr>
        <w:t>(Hart &amp; Moore, 1999; Mayer &amp; Argyres, 2004)</w:t>
      </w:r>
      <w:r w:rsidRPr="00CC756C">
        <w:rPr>
          <w:sz w:val="22"/>
        </w:rPr>
        <w:fldChar w:fldCharType="end"/>
      </w:r>
      <w:r w:rsidRPr="00CC756C">
        <w:rPr>
          <w:sz w:val="22"/>
        </w:rPr>
        <w:t xml:space="preserve">. PBCs’ focus on outcomes renders them less sensitive to future events, as, changes in the environment aside, the final objective (i.e., delivering the agreed on performance) remains relatively stable over time. They therefore contain less contractual detail regarding the specification of processes, behaviors and inputs. Consequently, PBCs are relatively more incomplete than other contract types, such as fixed fee and cost-plus contracts. Relative to more complete contracts, incomplete contracts (such as PBCs) offer two important benefits. First, incomplete contracts are more flexible in the sense that they allow for contingency adaptability (i.e., they allow the partner to make changes that are deemed necessary by them to be able to deal with unforeseen circumstances) (Bernheim &amp; Whinston, 1998; Luo, 2002). Second, incomplete contracts provide the partner with more freedom to organize processes surrounding transactions in the way they deem best (Bernheim &amp; Whinston, 1998; Luo, 2002). As the prescribing nature of more complete contracts may inhibit innovation (Hart, 1989; Wang, Yeung, &amp; Zhang, 2011), it is the open nature of incomplete contracts that is expected to foster innovation. </w:t>
      </w:r>
    </w:p>
    <w:p w:rsidR="00CC756C" w:rsidRPr="00CC756C" w:rsidRDefault="00CC756C" w:rsidP="00CC756C">
      <w:pPr>
        <w:ind w:firstLine="720"/>
        <w:rPr>
          <w:sz w:val="22"/>
        </w:rPr>
      </w:pPr>
      <w:r w:rsidRPr="00CC756C">
        <w:rPr>
          <w:sz w:val="22"/>
        </w:rPr>
        <w:t xml:space="preserve">The problem with incomplete contracts (such as PBCs), however, is that they do not sufficiently address transaction characteristics that may result in opportunistic behavior (Goldberg, 1976, 1985; Williamson, 1985). From a transaction cost economics (TCE) perspective, this partner opportunism should be countered by opting for a more complete contract. This however may negatively affect innovation, as more contractual detail restricts a partner’s freedom to identify new solutions. Alternatively, agency theory (AT) suggests that the problem of opportunistic behavior may be solved by linking a partner’s rewards to their performance </w:t>
      </w:r>
      <w:r w:rsidRPr="00CC756C">
        <w:rPr>
          <w:bCs/>
          <w:sz w:val="22"/>
        </w:rPr>
        <w:fldChar w:fldCharType="begin"/>
      </w:r>
      <w:r w:rsidRPr="00CC756C">
        <w:rPr>
          <w:bCs/>
          <w:sz w:val="22"/>
        </w:rPr>
        <w:instrText xml:space="preserve"> ADDIN ZOTERO_ITEM CSL_CITATION {"citationID":"1ssil2pqpi","properties":{"formattedCitation":"(Eisenhardt, 1989)","plainCitation":"(Eisenhardt, 1989)"},"citationItems":[{"id":151,"uris":["http://zotero.org/users/local/S7r2cPod/items/XNPFTIVD"],"uri":["http://zotero.org/users/local/S7r2cPod/items/XNPFTIVD"],"itemData":{"id":151,"type":"article-journal","title":"Agency theory: An assessment and review","container-title":"Academy of Management Review","page":"57-74","volume":"14","issue":"1","source":"JSTOR","abstract":"Agency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structure.","ISSN":"0363-7425","note":"ArticleType: research-article / Full publication date: Jan., 1989 / Copyright © 1989 Academy of Management","shortTitle":"Agency Theory","journalAbbreviation":"The Academy of Management Review","author":[{"family":"Eisenhardt","given":"Kathleen M."}],"issued":{"date-parts":[["1989",1,1]]},"accessed":{"date-parts":[["2013",5,15]]}}}],"schema":"https://github.com/citation-style-language/schema/raw/master/csl-citation.json"} </w:instrText>
      </w:r>
      <w:r w:rsidRPr="00CC756C">
        <w:rPr>
          <w:bCs/>
          <w:sz w:val="22"/>
        </w:rPr>
        <w:fldChar w:fldCharType="separate"/>
      </w:r>
      <w:r w:rsidRPr="00CC756C">
        <w:rPr>
          <w:sz w:val="22"/>
        </w:rPr>
        <w:t>(Eisenhardt, 1989)</w:t>
      </w:r>
      <w:r w:rsidRPr="00CC756C">
        <w:rPr>
          <w:bCs/>
          <w:sz w:val="22"/>
        </w:rPr>
        <w:fldChar w:fldCharType="end"/>
      </w:r>
      <w:r w:rsidRPr="00CC756C">
        <w:rPr>
          <w:sz w:val="22"/>
        </w:rPr>
        <w:t xml:space="preserve">. AT also suggests that </w:t>
      </w:r>
      <w:r w:rsidRPr="00CC756C">
        <w:rPr>
          <w:bCs/>
          <w:sz w:val="22"/>
        </w:rPr>
        <w:t>the optimal reward scheme depends on the partner’s degree of risk-aversion</w:t>
      </w:r>
      <w:r w:rsidRPr="00CC756C">
        <w:rPr>
          <w:sz w:val="22"/>
        </w:rPr>
        <w:t xml:space="preserve">. All in all, these two theories provide different solutions for curbing opportunism, with differing consequences for innovation. As a result, we need to consider these theories collectively rather than separately to understand the effects of (incomplete) contracts on innovation. Interestingly, the typical characteristics of PBCs (i.e., low term specificity and rewards being linked to performance) allow for the interdependent application of both solutions. </w:t>
      </w:r>
    </w:p>
    <w:p w:rsidR="00CC756C" w:rsidRPr="00CC756C" w:rsidRDefault="00CC756C" w:rsidP="00CC756C">
      <w:pPr>
        <w:rPr>
          <w:color w:val="000000"/>
          <w:sz w:val="22"/>
        </w:rPr>
      </w:pPr>
      <w:r w:rsidRPr="00CC756C">
        <w:rPr>
          <w:sz w:val="22"/>
        </w:rPr>
        <w:tab/>
        <w:t xml:space="preserve">We thus draw on TCE and AT to empirically study the effects of PBCs on innovation. We make a distinction between </w:t>
      </w:r>
      <w:r w:rsidRPr="00CC756C">
        <w:rPr>
          <w:color w:val="000000"/>
          <w:sz w:val="22"/>
        </w:rPr>
        <w:t xml:space="preserve">incremental and radical innovation, as, even though various authors have asserted that organizational antecedents that are favorable for one type of innovation may be unfavorable for the other (e.g., De Brentani, 1998; Koberg et al., 2003), empirical studies examining such relationships provide mixed results </w:t>
      </w:r>
      <w:r w:rsidRPr="00CC756C">
        <w:rPr>
          <w:color w:val="000000"/>
          <w:sz w:val="22"/>
        </w:rPr>
        <w:fldChar w:fldCharType="begin"/>
      </w:r>
      <w:r w:rsidRPr="00CC756C">
        <w:rPr>
          <w:color w:val="000000"/>
          <w:sz w:val="22"/>
        </w:rPr>
        <w:instrText xml:space="preserve"> ADDIN ZOTERO_ITEM CSL_CITATION {"citationID":"29ikvt6583","properties":{"formattedCitation":"(Jansen, Van Den Bosch, &amp; Volberda, 2006)","plainCitation":"(Jansen, Van Den Bosch, &amp; Volberda, 2006)"},"citationItems":[{"id":555,"uris":["http://zotero.org/users/local/S7r2cPod/items/HU5WUW5I"],"uri":["http://zotero.org/users/local/S7r2cPod/items/HU5WUW5I"],"itemData":{"id":555,"type":"article-journal","title":"Exploratory innovation, exploitative innovation, and performance: Effects of organizational antecedents and environmental moderators","container-title":"Management Science","page":"1661-1674","volume":"52","issue":"11","source":"CrossRef","ISSN":"0025-1909, 1526-5501","shortTitle":"Exploratory Innovation, Exploitative Innovation, and Performance","author":[{"family":"Jansen","given":"Justin J. P."},{"family":"Van Den Bosch","given":"Frans A. J."},{"family":"Volberda","given":"Henk W."}],"issued":{"date-parts":[["2006",11]]},"accessed":{"date-parts":[["2013",11,7]]}}}],"schema":"https://github.com/citation-style-language/schema/raw/master/csl-citation.json"} </w:instrText>
      </w:r>
      <w:r w:rsidRPr="00CC756C">
        <w:rPr>
          <w:color w:val="000000"/>
          <w:sz w:val="22"/>
        </w:rPr>
        <w:fldChar w:fldCharType="separate"/>
      </w:r>
      <w:r w:rsidRPr="00CC756C">
        <w:rPr>
          <w:sz w:val="22"/>
        </w:rPr>
        <w:t>(Jansen, Van Den Bosch, &amp; Volberda, 2006)</w:t>
      </w:r>
      <w:r w:rsidRPr="00CC756C">
        <w:rPr>
          <w:color w:val="000000"/>
          <w:sz w:val="22"/>
        </w:rPr>
        <w:fldChar w:fldCharType="end"/>
      </w:r>
      <w:r w:rsidRPr="00CC756C">
        <w:rPr>
          <w:color w:val="000000"/>
          <w:sz w:val="22"/>
        </w:rPr>
        <w:t xml:space="preserve">. Not differentiating between different types of innovation might also explain why studies are not converging towards one conclusion as to how and which contracts foster innovation. Thus, evidence on how formal governance affects the different types of innovation remains largely inconclusive. </w:t>
      </w:r>
      <w:r w:rsidRPr="00CC756C">
        <w:rPr>
          <w:sz w:val="22"/>
        </w:rPr>
        <w:t xml:space="preserve">Whereas radical innovation entails developing a completely new product/service or making a fundamental change in the configuration of existing products/services, incremental innovation involves minor improvements or adjustments in existing products/services </w:t>
      </w:r>
      <w:r w:rsidRPr="00CC756C">
        <w:rPr>
          <w:sz w:val="22"/>
        </w:rPr>
        <w:fldChar w:fldCharType="begin"/>
      </w:r>
      <w:r w:rsidRPr="00CC756C">
        <w:rPr>
          <w:sz w:val="22"/>
        </w:rPr>
        <w:instrText xml:space="preserve"> ADDIN ZOTERO_ITEM CSL_CITATION {"citationID":"SnOyycma","properties":{"formattedCitation":"(Das &amp; Joshi, 2007; Dewar &amp; Dutton, 1986; Roy, Sivakumar, &amp; Wilkinson, 2004)","plainCitation":"(Das &amp; Joshi, 2007; Dewar &amp; Dutton, 1986; Roy, Sivakumar, &amp; Wilkinson, 2004)","dontUpdate":true},"citationItems":[{"id":474,"uris":["http://zotero.org/users/local/S7r2cPod/items/6ET67SB7"],"uri":["http://zotero.org/users/local/S7r2cPod/items/6ET67SB7"],"itemData":{"id":474,"type":"article-journal","title":"Process innovativeness in technology services organizations: Roles of differentiation strategy, operational autonomy and risk-taking propensity","container-title":"Journal of Operations Management","page":"643-660","volume":"25","issue":"3","source":"ScienceDirect","abstract":"This paper examines the effect of differentiation strategy on process innovativeness in technology services organization (TSOs). In addition it examines the direct and moderating effects of two organizational constructs—operational autonomy and risk-taking propensity. Analysis of data from 102 firms in the mid-Atlantic region of the USA indicates that both differentiation strategy and operational autonomy are positively related with process innovativeness, while an organization's risk-taking propensity has no such relationship. In addition, operational autonomy moderates the relationship between differentiation strategy and process innovativeness, while no evidence was found for the moderating effect of risk-taking propensity on this relationship. Further sub-group analysis shows that in TSOs with high levels of operational autonomy, risk-taking propensity has a positive moderating effect on the above relationship. Post hoc analysis also establishes positive links among process innovativeness and firm performance.","ISSN":"0272-6963","shortTitle":"Process innovativeness in technology services organizations","journalAbbreviation":"Journal of Operations Management","author":[{"family":"Das","given":"Sidhartha R."},{"family":"Joshi","given":"Maheshkumar P."}],"issued":{"date-parts":[["2007",4]]},"accessed":{"date-parts":[["2013",9,25]]}}},{"id":502,"uris":["http://zotero.org/users/local/S7r2cPod/items/IQBTQHEF"],"uri":["http://zotero.org/users/local/S7r2cPod/items/IQBTQHEF"],"itemData":{"id":502,"type":"article-journal","title":"The adoption of radical and incremental innovations: An empirical analysis","container-title":"Management Science","page":"1422-1433","volume":"32","issue":"11","source":"mansci.journal.informs.org","abstract":"This paper proposes and empirically tests whether different models are needed to predict the adoption of technical process innovations that contain a high degree of new knowledge (radical innovations) and a low degree of new knowledge (incremental innovations). Results from a sample of 40 footwear manufacturers suggest that extensive knowledge depth (measured by the number of technical specialists) is important for the adoption of both innovation types. Larger firms are likely to have both more technical specialists and to adopt radical innovations. The study did not find associations between the adoption of either innovation type and decentralized decision making, managerial attitudes toward change, and exposure to external information. By implication, managers trying to encourage technical process innovation adoption need not be as concerned about modifying centralization of decision making, managerial attitudes and exposure to external information as would managers trying to encourage other types of innovation adoption, e.g., innovations in social services where these factors have been found to be important. Instead, investment in human capital in the form of technical specialists appears to be a major facilitator of technical process innovation adoption.","ISSN":"0025-1909, 1526-5501","shortTitle":"The Adoption of Radical and Incremental Innovations","journalAbbreviation":"Management Science","language":"en","author":[{"family":"Dewar","given":"Robert D."},{"family":"Dutton","given":"Jane E."}],"issued":{"date-parts":[["1986",1,11]]},"accessed":{"date-parts":[["2013",10,21]]}}},{"id":263,"uris":["http://zotero.org/users/local/S7r2cPod/items/CQCH62QX"],"uri":["http://zotero.org/users/local/S7r2cPod/items/CQCH62QX"],"itemData":{"id":263,"type":"article-journal","title":"Innovation generation in supply chain relationships: A conceptual model and research propositions","container-title":"Journal of the Academy of Marketing Science","page":"61-79","volume":"32","issue":"1","source":"link.springer.com","abstract":"Innovation generation has increasingly been recognized as an outcome of interaction between a firm and various outside entities. According to this view, supplier involvement and alliances are routes to innovation generation. Despite this realization, there is a dearth of research, both conceptual and empirical, focusing on innovation generation in buyer-seller relationships in supply chains. In an attempt to fill this void, this article develops a conceptual model of innovation generation in buyer-seller relationships in upstream supply chains. The authors propose that innovation generation in supply chain relationships, both incremental and radical, is a consequence of interactions between buyers and sellers. They also delineate factors internal and external to the relationship that moderate the link between interaction and innovation generation. Finally, the authors discuss managerial implications of their research and offer guidelines for future empirical research.","ISSN":"0092-0703, 1552-7824","shortTitle":"Innovation generation in supply chain relationships","journalAbbreviation":"J. of the Acad. Mark. Sci.","language":"en","author":[{"family":"Roy","given":"Subroto"},{"family":"Sivakumar","given":"K."},{"family":"Wilkinson","given":"Ian F."}],"issued":{"date-parts":[["2004",12,1]]},"accessed":{"date-parts":[["2013",5,15]]}}}],"schema":"https://github.com/citation-style-language/schema/raw/master/csl-citation.json"} </w:instrText>
      </w:r>
      <w:r w:rsidRPr="00CC756C">
        <w:rPr>
          <w:sz w:val="22"/>
        </w:rPr>
        <w:fldChar w:fldCharType="separate"/>
      </w:r>
      <w:r w:rsidRPr="00CC756C">
        <w:rPr>
          <w:sz w:val="22"/>
        </w:rPr>
        <w:t>(Dewar &amp; Dutton, 1986; Roy, Sivakumar, &amp; Wilkinson, 2004)</w:t>
      </w:r>
      <w:r w:rsidRPr="00CC756C">
        <w:rPr>
          <w:sz w:val="22"/>
        </w:rPr>
        <w:fldChar w:fldCharType="end"/>
      </w:r>
      <w:r w:rsidRPr="00CC756C">
        <w:rPr>
          <w:sz w:val="22"/>
        </w:rPr>
        <w:t xml:space="preserve">. Using both TCE and AT, we develop our research model, from which our hypotheses are derived. These hypotheses are tested using a </w:t>
      </w:r>
      <w:r w:rsidRPr="00CC756C">
        <w:rPr>
          <w:color w:val="000000"/>
          <w:sz w:val="22"/>
        </w:rPr>
        <w:t xml:space="preserve">survey-based research approach, whereby we collect data on 106 IORs from the Dutch maintenance industry. </w:t>
      </w:r>
    </w:p>
    <w:p w:rsidR="00CC756C" w:rsidRPr="00CC756C" w:rsidRDefault="00CC756C" w:rsidP="00CC756C">
      <w:pPr>
        <w:ind w:firstLine="720"/>
        <w:rPr>
          <w:sz w:val="22"/>
        </w:rPr>
      </w:pPr>
      <w:r w:rsidRPr="00CC756C">
        <w:rPr>
          <w:sz w:val="22"/>
        </w:rPr>
        <w:t xml:space="preserve">Our study contributes to existing literature in several ways. First, by studying the effects of contracts on a positive IOR outcome, we address a gap identified in previous studies (i.e., performance implications of contracts) </w:t>
      </w:r>
      <w:r w:rsidRPr="00CC756C">
        <w:rPr>
          <w:sz w:val="22"/>
        </w:rPr>
        <w:fldChar w:fldCharType="begin"/>
      </w:r>
      <w:r w:rsidRPr="00CC756C">
        <w:rPr>
          <w:sz w:val="22"/>
        </w:rPr>
        <w:instrText xml:space="preserve"> ADDIN ZOTERO_ITEM CSL_CITATION {"citationID":"OnkL5UmV","properties":{"formattedCitation":"(Anderson &amp; Dekker, 2005; Schepker, Oh, Martynov, &amp; Poppo, 2014; Vandaele, Rangarajan, Gemmel, &amp; Lievens, 2007)","plainCitation":"(Anderson &amp; Dekker, 2005; Schepker, Oh, Martynov, &amp; Poppo, 2014; Vandaele, Rangarajan, Gemmel, &amp; Lievens, 2007)"},"citationItems":[{"id":96,"uris":["http://zotero.org/users/local/S7r2cPod/items/UEMVKQ66"],"uri":["http://zotero.org/users/local/S7r2cPod/items/UEMVKQ66"],"itemData":{"id":96,"type":"article-journal","title":"Management control for market transactions: The relation between transaction characteristics, incomplete contract design, and subsequent performance","container-title":"Management Science","page":"1734-1752","volume":"51","issue":"12","source":"mansci.journal.informs.org","abstract":"Using an unusually comprehensive database on 858 transactions for information technology products and accompanying services, we study how close partners who are exposed to opportunistic hazards structure and control a significant transaction. We analyze data on the terms of contracting to determine whether transaction and supplier characteristics that generate opportunistic hazards are related to the formal management control structure. We also examine whether misalignment between transaction and supplier characteristics and the control structure is associated with ex post performance problems. Characteristics associated with hazards are found to be positively related to contract extensiveness. Factor analysis of the use of 24 contract terms reveals four groups of contract terms that are commonly used in combination. We interpret these factors as “dimensions of management control” and label them: assignment of rights, product and price, after-sales service, and legal recourse. Characteristics associated with hazards are positively related to the use of all four dimensions of management control, with different hazards associated with different controls. We then examine the relation between transaction characteristics and ex post transaction problems, demonstrating that even in the presence of mutually agreeable contracts, hazards remain. We conclude that costs of contracting are associated with increased use of contract terms on assignment of rights, after-sales service, and legal recourse. Finally, we present evidence that management control structures that are better aligned with transaction hazards mitigate subsequent performance problems, though at a nontrivial cost of contracting.","ISSN":"0025-1909, 1526-5501","shortTitle":"Management Control for Market Transactions","journalAbbreviation":"Management Science","language":"en","author":[{"family":"Anderson","given":"Shannon W."},{"family":"Dekker","given":"Henri C."}],"issued":{"date-parts":[["2005",1,12]]},"accessed":{"date-parts":[["2013",5,15]]}}},{"id":561,"uris":["http://zotero.org/users/local/S7r2cPod/items/U3KIKAIJ"],"uri":["http://zotero.org/users/local/S7r2cPod/items/U3KIKAIJ"],"itemData":{"id":561,"type":"article-journal","title":"The many futures of contracts: Moving beyond structure and safeguarding to coordination and adaptation","container-title":"Journal of Management","page":"193-225","volume":"40","issue":"1","source":"jom.sagepub.com","abstract":"In this article, we review the literature on interfirm contracting in an effort to synthesize existing research and direct future scholarship. While transaction cost economics (TCE) is the most prominent perspective informing the “optimal governance” and “safeguarding” function of contracts, our review indicates other perspectives are necessary to understand how contracts are structured: relational capabilities (i.e., building cooperation, creating trust), firm capabilities, relational contracts, and the real option value of a contract. Our review also indicates that contract research is moving away from a narrow focus on contract structure and its safeguarding function toward a broader focus that also highlights adaptation and coordination. We end by noting the following researc</w:instrText>
      </w:r>
      <w:r w:rsidRPr="00CC756C">
        <w:rPr>
          <w:sz w:val="22"/>
          <w:lang w:val="nl-NL"/>
        </w:rPr>
        <w:instrText xml:space="preserve">h gaps: consequences of contracting, specifically outcome assessment; strategic options, decision rights, and the evolution of dynamic capabilities; contextual constraints of relational capabilities; contextual constraints of contracting capabilities; complements, substitutes, and bundles; and contract structure and social process.","ISSN":"0149-2063, 1557-1211","journalAbbreviation":"Journal of Management","language":"en","author":[{"family":"Schepker","given":"Donald J."},{"family":"Oh","given":"Won-Yong"},{"family":"Martynov","given":"Aleksey"},{"family":"Poppo","given":"Laura"}],"issued":{"date-parts":[["2014",1,1]]},"accessed":{"date-parts":[["2013",12,5]]}}},{"id":292,"uris":["http://zotero.org/users/local/S7r2cPod/items/DIZE772V"],"uri":["http://zotero.org/users/local/S7r2cPod/items/DIZE772V"],"itemData":{"id":292,"type":"article-journal","title":"How to govern business services exchanges: Contractual and relational issues","container-title":"International Journal of Management Reviews","page":"237-258","volume":"9","issue":"3","source":"biblio.ugent.be","ISSN":"1460-8545","shortTitle":"How to govern business services exchanges","language":"eng","author":[{"family":"Vandaele","given":"Darline"},{"family":"Rangarajan","given":"D."},{"family":"Gemmel","given":"Paul"},{"family":"Lievens","given":"A."}],"issued":{"date-parts":[["2007"]]},"accessed":{"date-parts":[["2013",5,15]]}}}],"schema":"https://github.com/citation-style-language/schema/raw/master/csl-citation.json"} </w:instrText>
      </w:r>
      <w:r w:rsidRPr="00CC756C">
        <w:rPr>
          <w:sz w:val="22"/>
        </w:rPr>
        <w:fldChar w:fldCharType="separate"/>
      </w:r>
      <w:r w:rsidRPr="00CC756C">
        <w:rPr>
          <w:sz w:val="22"/>
          <w:lang w:val="nl-NL"/>
        </w:rPr>
        <w:t>(Anderson &amp; Dekker, 2005; Schepker, Oh, Martynov, &amp; Poppo, 2014; Vandaele, Rangarajan, Gemmel, &amp; Lievens, 2007)</w:t>
      </w:r>
      <w:r w:rsidRPr="00CC756C">
        <w:rPr>
          <w:sz w:val="22"/>
        </w:rPr>
        <w:fldChar w:fldCharType="end"/>
      </w:r>
      <w:r w:rsidRPr="00CC756C">
        <w:rPr>
          <w:sz w:val="22"/>
          <w:lang w:val="nl-NL"/>
        </w:rPr>
        <w:t xml:space="preserve">. </w:t>
      </w:r>
      <w:r w:rsidRPr="00CC756C">
        <w:rPr>
          <w:sz w:val="22"/>
        </w:rPr>
        <w:t xml:space="preserve">Moreover, our study adds to the limited number of studies on the use and effects of PBCs </w:t>
      </w:r>
      <w:r w:rsidRPr="00CC756C">
        <w:rPr>
          <w:sz w:val="22"/>
        </w:rPr>
        <w:fldChar w:fldCharType="begin"/>
      </w:r>
      <w:r w:rsidRPr="00CC756C">
        <w:rPr>
          <w:sz w:val="22"/>
        </w:rPr>
        <w:instrText xml:space="preserve"> ADDIN ZOTERO_ITEM CSL_CITATION {"citationID":"29mvb0lo1r","properties":{"formattedCitation":"(Hypko et al., 2010; Martin, 2002)","plainCitation":"(Hypko et al., 2010; Martin, 2002)"},"citationItems":[{"id":191,"uris":["http://zotero.org/users/local/S7r2cPod/items/T8NXUCTZ"],"uri":["http://zotero.org/users/local/S7r2cPod/items/T8NXUCTZ"],"itemData":{"id":191,"type":"article-journal","title":"Clarifying the concept of performance-based contracting in manufacturing industries: A research synthesis","container-title":"Journal of Service Management","page":"625-655","volume":"21","issue":"5","source":"Emerald Publishing","ISSN":"1757-5818","shortTitle":"Clarifying the concept of performance-based contracting in manufacturing industries","author":[{"family":"Hypko","given":"Phillipp"},{"family":"Tilebein","given":"Meike"},{"family":"Gleich","given":"Ronald"}],"issued":{"date-parts":[["2010",10,12]]},"accessed":{"date-parts":[["2013",5,15]]}}},{"id":403,"uris":["http://zotero.org/users/local/S7r2cPod/items/ZX99BQ48"],"uri":["http://zotero.org/users/local/S7r2cPod/items/ZX99BQ48"],"itemData":{"id":403,"type":"article-journal","title":"Performance-based contracting for human services: Lessons for public procurement?","container-title":"Journal of Public Procurement","page":"55-71","volume":"2","issue":"1","source":"ProQuest","abstract":"This article looks at performance-based contracting by selected state human service agencies, the approaches being used and the results being achieved. It is concluded that performance-based contracting for human services does not appear to be accomplishing its objective: changing the behavior of contractors to focus more on performance. The lessons learned by state human service agencies appear to have relevance for larger issues of public procurement.","ISSN":"15350118","shortTitle":"Performance-based contracting for human services","language":"English","author":[{"family":"Martin","given":"Lawrence L."}],"issued":{"date-parts":[["2002"]]},"accessed":{"date-parts":[["2013",7,5]]}}}],"schema":"https://github.com/citation-style-language/schema/raw/master/csl-citation.json"} </w:instrText>
      </w:r>
      <w:r w:rsidRPr="00CC756C">
        <w:rPr>
          <w:sz w:val="22"/>
        </w:rPr>
        <w:fldChar w:fldCharType="separate"/>
      </w:r>
      <w:r w:rsidRPr="00CC756C">
        <w:rPr>
          <w:sz w:val="22"/>
        </w:rPr>
        <w:t>(Hypko et al., 2010; Martin, 2002)</w:t>
      </w:r>
      <w:r w:rsidRPr="00CC756C">
        <w:rPr>
          <w:sz w:val="22"/>
        </w:rPr>
        <w:fldChar w:fldCharType="end"/>
      </w:r>
      <w:r w:rsidRPr="00CC756C">
        <w:rPr>
          <w:sz w:val="22"/>
        </w:rPr>
        <w:t xml:space="preserve">. Third, our hypotheses are based on the use of both TCE and AT. Whereas previous research has used either theory to understand the effects of governance on outcomes </w:t>
      </w:r>
      <w:r w:rsidRPr="00CC756C">
        <w:rPr>
          <w:sz w:val="22"/>
        </w:rPr>
        <w:fldChar w:fldCharType="begin"/>
      </w:r>
      <w:r w:rsidRPr="00CC756C">
        <w:rPr>
          <w:sz w:val="22"/>
        </w:rPr>
        <w:instrText xml:space="preserve"> ADDIN ZOTERO_ITEM CSL_CITATION {"citationID":"2edg7j4fa","properties":{"formattedCitation":"(Anderson &amp; Dekker, 2005; Johnson &amp; Medcof, 2007; Wang et al., 2011)","plainCitation":"(Anderson &amp; Dekker, 2005; Johnson &amp; Medcof, 2007; Wang et al., 2011)"},"citationItems":[{"id":96,"uris":["http://zotero.org/users/local/S7r2cPod/items/UEMVKQ66"],"uri":["http://zotero.org/users/local/S7r2cPod/items/UEMVKQ66"],"itemData":{"id":96,"type":"article-journal","title":"Management control for market transactions: The relation between transaction characteristics, incomplete contract design, and subsequent performance","container-title":"Management Science","page":"1734-1752","volume":"51","issue":"12","source":"mansci.journal.informs.org","abstract":"Using an unusually comprehensive database on 858 transactions for information technology products and accompanying services, we study how close partners who are exposed to opportunistic hazards structure and control a significant transaction. We analyze data on the terms of contracting to determine whether transaction and supplier characteristics that generate opportunistic hazards are related to the formal management control structure. We also examine whether misalignment between transaction and supplier characteristics and the control structure is associated with ex post performance problems. Characteristics associated with hazards are found to be positively related to contract extensiveness. Factor analysis of the use of 24 contract terms reveals four groups of contract terms that are commonly used in combination. We interpret these factors as “dimensions of management control” and label them: assignment of rights, product and price, after-sales service, and legal recourse. Characteristics associated with hazards are positively related to the use of all four dimensions of management control, with different hazards associated with different controls. We then examine the relation between transaction characteristics and ex post transaction problems, demonstrating that even in the presence of mutually agreeable contracts, hazards remain. We conclude that costs of contracting are associated with increased use of contract terms on assignment of rights, after-sales service, and legal recourse. Finally, we present evidence that management control structures that are better aligned with transaction hazards mitigate subsequent performance problems, though at a nontrivial cost of contracting.","ISSN":"0025-1909, 1526-5501","shortTitle":"Management Control for Market Transactions","journalAbbreviation":"Management Science","language":"en","author":[{"family":"Anderson","given":"Shannon W."},{"family":"Dekker","given":"Henri C."}],"issued":{"date-parts":[["2005",1,12]]},"accessed":{"date-parts":[["2013",5,15]]}}},{"id":34,"uris":["http://zotero.org/users/local/S7r2cPod/items/ZDZ7UX7Z"],"uri":["http://zotero.org/users/local/S7r2cPod/items/ZDZ7UX7Z"],"itemData":{"id":34,"type":"article-journal","title":"Motivating proactive subsidiary innovation: Agent-based theory and socialization models in global R&amp;D","container-title":"Journal of International Management","page":"472-487","volume":"13","issue":"4","source":"ScienceDirect","abstract":"An integration of agency theory and socialization models is developed and used to explain the types of governance and organizational structures associated with self-initiated subsidiary innovation. This theorizing suggests that: 1) The hub structure is the greatest user of behavior-based contracting and engenders the fewest self-initiated innovations; 2) The federation structure is the greatest user of outcome-based contracting and engenders the most self-initiated innovations, but these are primarily oriented to business level strategy rather than corporate; and, 3) The network structure is the greatest user of goal internalization and is the strongest generator of self-initiated innovations which are oriented to corporate-level strategy. The empirical evidence from extant studies of other researchers in the field is consistent with these propositions. Implications for management practice, research and theory are discussed in the paper.","ISSN":"1075-4253","shortTitle":"Motivating proactive subsidiary innovation","journalAbbreviation":"Journal of International Management","author":[{"family":"Johnson","given":"William H.A."},{"family":"Medcof","given":"John W."}],"issued":{"date-parts":[["2007",12]]},"accessed":{"date-parts":[["2013",5,15]]}}},{"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CC756C">
        <w:rPr>
          <w:sz w:val="22"/>
        </w:rPr>
        <w:fldChar w:fldCharType="separate"/>
      </w:r>
      <w:r w:rsidRPr="00CC756C">
        <w:rPr>
          <w:sz w:val="22"/>
        </w:rPr>
        <w:t>(Anderson &amp; Dekker, 2005; Johnson &amp; Medcof, 2007; Wang et al., 2011)</w:t>
      </w:r>
      <w:r w:rsidRPr="00CC756C">
        <w:rPr>
          <w:sz w:val="22"/>
        </w:rPr>
        <w:fldChar w:fldCharType="end"/>
      </w:r>
      <w:r w:rsidRPr="00CC756C">
        <w:rPr>
          <w:sz w:val="22"/>
        </w:rPr>
        <w:t xml:space="preserve">, our empirical study uses these two perspectives collectively rather than separately to understand performance implications of (incomplete) contracts. Finally, our focus on innovation as a performance outcome constitutes a contribution to the innovation literature </w:t>
      </w:r>
      <w:r w:rsidRPr="00CC756C">
        <w:rPr>
          <w:sz w:val="22"/>
        </w:rPr>
        <w:fldChar w:fldCharType="begin"/>
      </w:r>
      <w:r w:rsidRPr="00CC756C">
        <w:rPr>
          <w:sz w:val="22"/>
        </w:rPr>
        <w:instrText xml:space="preserve"> ADDIN ZOTERO_ITEM CSL_CITATION {"citationID":"42bb7jhl4","properties":{"formattedCitation":"(Anderson &amp; Dekker, 2005)","plainCitation":"(Anderson &amp; Dekker, 2005)"},"citationItems":[{"id":96,"uris":["http://zotero.org/users/local/S7r2cPod/items/UEMVKQ66"],"uri":["http://zotero.org/users/local/S7r2cPod/items/UEMVKQ66"],"itemData":{"id":96,"type":"article-journal","title":"Management control for market transactions: The relation between transaction characteristics, incomplete contract design, and subsequent performance","container-title":"Management Science","page":"1734-1752","volume":"51","issue":"12","source":"mansci.journal.informs.org","abstract":"Using an unusually comprehensive database on 858 transactions for information technology products and accompanying services, we study how close partners who are exposed to opportunistic hazards structure and control a significant transaction. We analyze data on the terms of contracting to determine whether transaction and supplier characteristics that generate opportunistic hazards are related to the formal management control structure. We also examine whether misalignment between transaction and supplier characteristics and the control structure is associated with ex post performance problems. Characteristics associated with hazards are found to be positively related to contract extensiveness. Factor analysis of the use of 24 contract terms reveals four groups of contract terms that are commonly used in combination. We interpret these factors as “dimensions of management control” and label them: assignment of rights, product and price, after-sales service, and legal recourse. Characteristics associated with hazards are positively related to the use of all four dimensions of management control, with different hazards associated with different controls. We then examine the relation between transaction characteristics and ex post transaction problems, demonstrating that even in the presence of mutually agreeable contracts, hazards remain. We conclude that costs of contracting are associated with increased use of contract terms on assignment of rights, after-sales service, and legal recourse. Finally, we present evidence that management control structures that are better aligned with transaction hazards mitigate subsequent performance problems, though at a nontrivial cost of contracting.","ISSN":"0025-1909, 1526-5501","shortTitle":"Management Control for Market Transactions","journalAbbreviation":"Management Science","language":"en","author":[{"family":"Anderson","given":"Shannon W."},{"family":"Dekker","given":"Henri C."}],"issued":{"date-parts":[["2005",1,12]]},"accessed":{"date-parts":[["2013",5,15]]}}}],"schema":"https://github.com/citation-style-language/schema/raw/master/csl-citation.json"} </w:instrText>
      </w:r>
      <w:r w:rsidRPr="00CC756C">
        <w:rPr>
          <w:sz w:val="22"/>
        </w:rPr>
        <w:fldChar w:fldCharType="separate"/>
      </w:r>
      <w:r w:rsidRPr="00CC756C">
        <w:rPr>
          <w:sz w:val="22"/>
        </w:rPr>
        <w:t>(Anderson &amp; Dekker, 2005)</w:t>
      </w:r>
      <w:r w:rsidRPr="00CC756C">
        <w:rPr>
          <w:sz w:val="22"/>
        </w:rPr>
        <w:fldChar w:fldCharType="end"/>
      </w:r>
      <w:r w:rsidRPr="00CC756C">
        <w:rPr>
          <w:sz w:val="22"/>
        </w:rPr>
        <w:t xml:space="preserve">. Distinguishing between incremental and radical innovation is an additional contribution in the innovation literature. </w:t>
      </w:r>
    </w:p>
    <w:p w:rsidR="00CC756C" w:rsidRPr="00CC756C" w:rsidRDefault="00CC756C" w:rsidP="00CC756C">
      <w:pPr>
        <w:ind w:firstLine="720"/>
        <w:rPr>
          <w:sz w:val="22"/>
        </w:rPr>
      </w:pPr>
      <w:r w:rsidRPr="00CC756C">
        <w:rPr>
          <w:sz w:val="22"/>
        </w:rPr>
        <w:t>The remainder of this paper is organized</w:t>
      </w:r>
      <w:r w:rsidRPr="00CC756C">
        <w:rPr>
          <w:color w:val="000000"/>
          <w:sz w:val="22"/>
        </w:rPr>
        <w:t xml:space="preserve"> as follows. First, </w:t>
      </w:r>
      <w:r w:rsidRPr="00CC756C">
        <w:rPr>
          <w:sz w:val="22"/>
        </w:rPr>
        <w:t xml:space="preserve">we review the literature on innovation and (performance-based) contracts to build a preliminary framework that outlines how the </w:t>
      </w:r>
      <w:r w:rsidRPr="00CC756C">
        <w:rPr>
          <w:sz w:val="22"/>
        </w:rPr>
        <w:lastRenderedPageBreak/>
        <w:t xml:space="preserve">characteristics of an incomplete contract, such as PBCs, affect innovation. </w:t>
      </w:r>
      <w:r w:rsidRPr="00CC756C">
        <w:rPr>
          <w:color w:val="000000"/>
          <w:sz w:val="22"/>
        </w:rPr>
        <w:t xml:space="preserve">Then, we </w:t>
      </w:r>
      <w:r w:rsidRPr="00CC756C">
        <w:rPr>
          <w:sz w:val="22"/>
        </w:rPr>
        <w:t>describe our research methodology, followed by a presentation of our analyses and results. We end with a conclusion, and discuss scientific contributions and managerial implications, as well as limitations and promising avenues for future research.</w:t>
      </w:r>
    </w:p>
    <w:p w:rsidR="008C3412" w:rsidRPr="008E72A8" w:rsidRDefault="008C3412" w:rsidP="008C3412">
      <w:pPr>
        <w:pStyle w:val="Heading1"/>
        <w:keepNext w:val="0"/>
        <w:rPr>
          <w:sz w:val="22"/>
          <w:szCs w:val="22"/>
        </w:rPr>
      </w:pPr>
      <w:r w:rsidRPr="008E72A8">
        <w:rPr>
          <w:sz w:val="22"/>
          <w:szCs w:val="22"/>
        </w:rPr>
        <w:t>Theoretical Background</w:t>
      </w:r>
    </w:p>
    <w:p w:rsidR="00CC756C" w:rsidRPr="00CC756C" w:rsidRDefault="00CC756C" w:rsidP="00CC756C">
      <w:pPr>
        <w:pStyle w:val="ListParagraph"/>
        <w:numPr>
          <w:ilvl w:val="1"/>
          <w:numId w:val="1"/>
        </w:numPr>
        <w:tabs>
          <w:tab w:val="left" w:pos="567"/>
        </w:tabs>
        <w:ind w:left="0" w:firstLine="0"/>
        <w:rPr>
          <w:rFonts w:cs="Times New Roman"/>
          <w:i/>
          <w:sz w:val="22"/>
        </w:rPr>
      </w:pPr>
      <w:r w:rsidRPr="00CC756C">
        <w:rPr>
          <w:rFonts w:cs="Times New Roman"/>
          <w:i/>
          <w:sz w:val="22"/>
        </w:rPr>
        <w:t xml:space="preserve"> Performance-Based Contracts and Innovation</w:t>
      </w:r>
    </w:p>
    <w:p w:rsidR="00CC756C" w:rsidRPr="00CC756C" w:rsidRDefault="00CC756C" w:rsidP="00CC756C">
      <w:pPr>
        <w:tabs>
          <w:tab w:val="left" w:pos="567"/>
        </w:tabs>
        <w:ind w:firstLine="0"/>
        <w:rPr>
          <w:rFonts w:cs="Times New Roman"/>
          <w:sz w:val="22"/>
        </w:rPr>
      </w:pPr>
      <w:r w:rsidRPr="00CC756C">
        <w:rPr>
          <w:rFonts w:cs="Times New Roman"/>
          <w:sz w:val="22"/>
        </w:rPr>
        <w:t xml:space="preserve">PBCs are increasingly used for the effective and cost-efficient (out)sourcing of business services </w:t>
      </w:r>
      <w:r w:rsidRPr="00CC756C">
        <w:rPr>
          <w:rFonts w:cs="Times New Roman"/>
          <w:sz w:val="22"/>
        </w:rPr>
        <w:fldChar w:fldCharType="begin"/>
      </w:r>
      <w:r w:rsidRPr="00CC756C">
        <w:rPr>
          <w:rFonts w:cs="Times New Roman"/>
          <w:sz w:val="22"/>
        </w:rPr>
        <w:instrText xml:space="preserve"> ADDIN ZOTERO_ITEM CSL_CITATION {"citationID":"s9jf1uvtj","properties":{"formattedCitation":"(Datta &amp; Roy, 2011; Kim et al., 2007)","plainCitation":"(Datta &amp; Roy, 2011; Kim et al., 2007)"},"citationItems":[{"id":411,"uris":["http://zotero.org/users/local/S7r2cPod/items/BHM7C4UW"],"uri":["http://zotero.org/users/local/S7r2cPod/items/BHM7C4UW"],"itemData":{"id":411,"type":"article-journal","title":"Operations strategy for the effective delivery of integrated industrial product-service offerings: Two exploratory defence industry case studies","container-title":"International Journal of Operations &amp; Production Management","page":"579-603","volume":"31","issue":"5","source":"Emerald Publishing","ISSN":"0144-3577","shortTitle":"Operations strategy for the effective delivery of integrated industrial product-service offerings","author":[{"family":"Datta","given":"Partha Priya"},{"family":"Roy","given":"Rajkumar"}],"issued":{"date-parts":[["2011",4,26]]},"accessed":{"date-parts":[["2013",7,8]]}}},{"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A."},{"family":"Netessine","given":"Serguei"}],"issued":{"date-parts":[["2007",1,12]]},"accessed":{"date-parts":[["2013",5,15]]}}}],"schema":"https://github.com/citation-style-language/schema/raw/master/csl-citation.json"} </w:instrText>
      </w:r>
      <w:r w:rsidRPr="00CC756C">
        <w:rPr>
          <w:rFonts w:cs="Times New Roman"/>
          <w:sz w:val="22"/>
        </w:rPr>
        <w:fldChar w:fldCharType="separate"/>
      </w:r>
      <w:r>
        <w:rPr>
          <w:rFonts w:cs="Times New Roman"/>
          <w:sz w:val="22"/>
        </w:rPr>
        <w:t>(</w:t>
      </w:r>
      <w:r w:rsidRPr="00CC756C">
        <w:rPr>
          <w:rFonts w:cs="Times New Roman"/>
          <w:sz w:val="22"/>
        </w:rPr>
        <w:t>Kim et al., 2007)</w:t>
      </w:r>
      <w:r w:rsidRPr="00CC756C">
        <w:rPr>
          <w:rFonts w:cs="Times New Roman"/>
          <w:sz w:val="22"/>
        </w:rPr>
        <w:fldChar w:fldCharType="end"/>
      </w:r>
      <w:r w:rsidRPr="00CC756C">
        <w:rPr>
          <w:rFonts w:cs="Times New Roman"/>
          <w:sz w:val="22"/>
        </w:rPr>
        <w:t xml:space="preserve">. While traditional contracts, such as fixed price or cost plus contracts, focus on inputs and processes, PBCs focus on the outputs and outcomes, that is the performance to be delivered by the partner </w:t>
      </w:r>
      <w:r w:rsidRPr="00CC756C">
        <w:rPr>
          <w:rFonts w:cs="Times New Roman"/>
          <w:sz w:val="22"/>
        </w:rPr>
        <w:fldChar w:fldCharType="begin"/>
      </w:r>
      <w:r w:rsidRPr="00CC756C">
        <w:rPr>
          <w:rFonts w:cs="Times New Roman"/>
          <w:sz w:val="22"/>
        </w:rPr>
        <w:instrText xml:space="preserve"> ADDIN ZOTERO_ITEM CSL_CITATION {"citationID":"dk79gfuf2","properties":{"formattedCitation":"(Kim et al., 2007; Mirzahosseinian &amp; Piplani, 2011)","plainCitation":"(Kim et al., 2007; Mirzahosseinian &amp; Piplani, 2011)"},"citationItems":[{"id":199,"uris":["http://zotero.org/users/local/S7r2cPod/items/WZP3U6V9"],"uri":["http://zotero.org/users/local/S7r2cPod/items/WZP3U6V9"],"itemData":{"id":199,"type":"article-journal","title":"Performance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id":438,"uris":["http://zotero.org/users/local/S7r2cPod/items/7M89N4W7"],"uri":["http://zotero.org/users/local/S7r2cPod/items/7M89N4W7"],"itemData":{"id":438,"type":"article-journal","title":"A study of repairable parts inventory system operating under performance-based contract","container-title":"European Journal of Operational Research","page":"256-261","volume":"214","issue":"2","source":"ScienceDirect","abstract":"Performance-Based Logistics (PBL) is becoming a dominant logistics support strategy, especially in the defense industry. PBL contracts are designed to serve the customer’s key performance measures, while the traditional contracts for after-sales services, such as Fixed-price (FP) and Cost-plus (C+), only provide insurance or incentive. In this research, we develop an inventory model for a repairable parts system operating under a PBL contract. We model the closed-loop inventory system as an M/M/m queue in which component failures are Poisson distributed and the repair times at the service facility are exponential. Our model provides the supplier and the customer increased flexibility in achieving target availability. Analysis of key parameters suggests that to improve the availability of the system with repairable spare parts, the supplier should work to improve the components reliability and efficiency of repair facility, rather than the base stock level, which has minimal impact on system availability.","ISSN":"0377-2217","journalAbbreviation":"European Journal of Operational Research","author":[{"family":"Mirzahosseinian","given":"H."},{"family":"Piplani","given":"R."}],"issued":{"date-parts":[["2011",10,16]]},"accessed":{"date-parts":[["2013",7,8]]}}}],"schema":"https://github.com/citation-style-language/schema/raw/master/csl-citation.json"} </w:instrText>
      </w:r>
      <w:r w:rsidRPr="00CC756C">
        <w:rPr>
          <w:rFonts w:cs="Times New Roman"/>
          <w:sz w:val="22"/>
        </w:rPr>
        <w:fldChar w:fldCharType="separate"/>
      </w:r>
      <w:r>
        <w:rPr>
          <w:rFonts w:cs="Times New Roman"/>
          <w:sz w:val="22"/>
        </w:rPr>
        <w:t>(</w:t>
      </w:r>
      <w:r w:rsidRPr="00CC756C">
        <w:rPr>
          <w:rFonts w:cs="Times New Roman"/>
          <w:sz w:val="22"/>
        </w:rPr>
        <w:t>Mirzahosseinian &amp; Piplani, 2011)</w:t>
      </w:r>
      <w:r w:rsidRPr="00CC756C">
        <w:rPr>
          <w:rFonts w:cs="Times New Roman"/>
          <w:sz w:val="22"/>
        </w:rPr>
        <w:fldChar w:fldCharType="end"/>
      </w:r>
      <w:r w:rsidRPr="00CC756C">
        <w:rPr>
          <w:rFonts w:cs="Times New Roman"/>
          <w:sz w:val="22"/>
        </w:rPr>
        <w:t xml:space="preserve">. For example, under a PBC, the partner providing maintenance to an airplane’s turbine-engine is not rewarded according to the materials used (e.g., spare parts) or the activities conducted, but for the uptime of the engine (i.e. ‘power by the hour’) </w:t>
      </w:r>
      <w:r w:rsidRPr="00CC756C">
        <w:rPr>
          <w:rFonts w:cs="Times New Roman"/>
          <w:sz w:val="22"/>
        </w:rPr>
        <w:fldChar w:fldCharType="begin"/>
      </w:r>
      <w:r w:rsidRPr="00CC756C">
        <w:rPr>
          <w:rFonts w:cs="Times New Roman"/>
          <w:sz w:val="22"/>
        </w:rPr>
        <w:instrText xml:space="preserve"> ADDIN ZOTERO_ITEM CSL_CITATION {"citationID":"1sp80onpe0","properties":{"formattedCitation":"(Neely, 2009; Ng, Maull, &amp; Yip, 2009)","plainCitation":"(Neely, 2009; Ng, Maull, &amp; Yip, 2009)"},"citationItems":[{"id":406,"uris":["http://zotero.org/users/local/S7r2cPod/items/SSV7KHKX"],"uri":["http://zotero.org/users/local/S7r2cPod/items/SSV7KHKX"],"itemData":{"id":406,"type":"article-journal","title":"Exploring the financial consequences of the servitization of manufacturing","container-title":"Operations Management Research","page":"103-118","volume":"1","issue":"2","source":"CrossRef","ISSN":"1936-9735, 1936-9743","author":[{"family":"Neely","given":"Andy"}],"issued":{"date-parts":[["2009",2,27]]},"accessed":{"date-parts":[["2013",7,5]]}}},{"id":246,"uris":["http://zotero.org/users/local/S7r2cPod/items/5IXUGK3T"],"uri":["http://zotero.org/users/local/S7r2cPod/items/5IXUGK3T"],"itemData":{"id":246,"type":"article-journal","title":"Outcome-based contracts as a driver for systems thinking and service-dominant logic in service science: Evidence from the defence industry","container-title":"European Management Journal","page":"377-387","volume":"27","issue":"6","source":"RePEc - IDEAS","abstract":"Summary Two outcome-based defence contracts are studied in the attempt to better understand the provision of services in maintenance, repair and overhaul (MRO) environment that is contracted on the outcome of the equipment, rather than the provision of equipment. The nature of the contract changes the dynamics of the delivery, bringing complex issues such as customer behaviours and involvement to the forefront, with both customer and firm focused on value co-creation and co-production, rather than each party's contractual obligation. We uncover four areas that are crucial in the understanding of value co-production in service delivery and analysed them through a systems approach combined with the application of the service-dominant logic, both considered as the theoretical underpinnings of service science.","shortTitle":"Outcome-based contracts as a driver for systems thinking and service-dominant logic in service science","author":[{"family":"Ng","given":"Irene C. L."},{"family":"Maull","given":"Roger"},{"family":"Yip","given":"Nick"}],"issued":{"date-parts":[["2009"]]},"accessed":{"date-parts":[["2013",5,15]]}}}],"schema":"https://github.com/citation-style-language/schema/raw/master/csl-citation.json"} </w:instrText>
      </w:r>
      <w:r w:rsidRPr="00CC756C">
        <w:rPr>
          <w:rFonts w:cs="Times New Roman"/>
          <w:sz w:val="22"/>
        </w:rPr>
        <w:fldChar w:fldCharType="separate"/>
      </w:r>
      <w:r w:rsidR="009577D5">
        <w:rPr>
          <w:rFonts w:cs="Times New Roman"/>
          <w:sz w:val="22"/>
        </w:rPr>
        <w:t>(</w:t>
      </w:r>
      <w:r w:rsidRPr="00CC756C">
        <w:rPr>
          <w:rFonts w:cs="Times New Roman"/>
          <w:sz w:val="22"/>
        </w:rPr>
        <w:t>Ng, Maull, &amp; Yip, 2009)</w:t>
      </w:r>
      <w:r w:rsidRPr="00CC756C">
        <w:rPr>
          <w:rFonts w:cs="Times New Roman"/>
          <w:sz w:val="22"/>
        </w:rPr>
        <w:fldChar w:fldCharType="end"/>
      </w:r>
      <w:r w:rsidRPr="00CC756C">
        <w:rPr>
          <w:rFonts w:cs="Times New Roman"/>
          <w:sz w:val="22"/>
        </w:rPr>
        <w:t xml:space="preserve">. Thus, the contract explicitly identifies the performance that should be delivered by the partner (e.g., uptime percentage), rather than describing </w:t>
      </w:r>
      <w:r w:rsidR="00BC52A2">
        <w:rPr>
          <w:rFonts w:cs="Times New Roman"/>
          <w:sz w:val="22"/>
        </w:rPr>
        <w:t>how to achieve this performance</w:t>
      </w:r>
      <w:r w:rsidRPr="00CC756C">
        <w:rPr>
          <w:rFonts w:cs="Times New Roman"/>
          <w:sz w:val="22"/>
        </w:rPr>
        <w:t xml:space="preserve">. </w:t>
      </w:r>
      <w:r w:rsidR="009577D5">
        <w:rPr>
          <w:rFonts w:cs="Times New Roman"/>
          <w:sz w:val="22"/>
        </w:rPr>
        <w:t>The partner may f</w:t>
      </w:r>
      <w:r w:rsidRPr="00CC756C">
        <w:rPr>
          <w:rFonts w:cs="Times New Roman"/>
          <w:sz w:val="22"/>
        </w:rPr>
        <w:t xml:space="preserve">ind it in their own interest to engage in innovative activities by investing in new products/services and/or more efficient ways of delivering the service </w:t>
      </w:r>
      <w:r w:rsidRPr="00CC756C">
        <w:rPr>
          <w:rFonts w:cs="Times New Roman"/>
          <w:sz w:val="22"/>
        </w:rPr>
        <w:fldChar w:fldCharType="begin"/>
      </w:r>
      <w:r w:rsidRPr="00CC756C">
        <w:rPr>
          <w:rFonts w:cs="Times New Roman"/>
          <w:sz w:val="22"/>
        </w:rPr>
        <w:instrText xml:space="preserve"> ADDIN ZOTERO_ITEM CSL_CITATION {"citationID":"2jc3erurkj","properties":{"formattedCitation":"(Kim et al., 2007)","plainCitation":"(Kim et al., 2007)"},"citationItems":[{"id":199,"uris":["http://zotero.org/users/local/S7r2cPod/items/WZP3U6V9"],"uri":["http://zotero.org/users/local/S7r2cPod/items/WZP3U6V9"],"itemData":{"id":199,"type":"article-journal","title":"Performance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(Kim et al., 2007)</w:t>
      </w:r>
      <w:r w:rsidRPr="00CC756C">
        <w:rPr>
          <w:rFonts w:cs="Times New Roman"/>
          <w:sz w:val="22"/>
        </w:rPr>
        <w:fldChar w:fldCharType="end"/>
      </w:r>
      <w:r w:rsidRPr="00CC756C">
        <w:rPr>
          <w:rFonts w:cs="Times New Roman"/>
          <w:sz w:val="22"/>
        </w:rPr>
        <w:t xml:space="preserve">. This shift toward contracting performance, which is replacing traditional contracting practices, is a trend that can be identified in both the manufacturing and service industries and in both the private and public sectors </w:t>
      </w:r>
      <w:r w:rsidRPr="00CC756C">
        <w:rPr>
          <w:rFonts w:cs="Times New Roman"/>
          <w:sz w:val="22"/>
        </w:rPr>
        <w:fldChar w:fldCharType="begin"/>
      </w:r>
      <w:r w:rsidRPr="00CC756C">
        <w:rPr>
          <w:rFonts w:cs="Times New Roman"/>
          <w:sz w:val="22"/>
        </w:rPr>
        <w:instrText xml:space="preserve"> ADDIN ZOTERO_ITEM CSL_CITATION {"citationID":"SgKnGKuI","properties":{"formattedCitation":"(Hypko et al., 2010; Kim et al., 2007)","plainCitation":"(Hypko et al., 2010; Kim et al., 2007)"},"citationItems":[{"id":191,"uris":["http://zotero.org/users/local/S7r2cPod/items/T8NXUCTZ"],"uri":["http://zotero.org/users/local/S7r2cPod/items/T8NXUCTZ"],"itemData":{"id":191,"type":"article-journal","title":"Clarifying the concept of performance-based contracting in manufacturing industries: A research synthesis","container-title":"Journal of Service Management","page":"625-655","volume":"21","issue":"5","source":"Emerald Publishing","ISSN":"1757-5818","shortTitle":"Clarifying the concept of performance-based contracting in manufacturing industries","author":[{"family":"Hypko","given":"Phillipp"},{"family":"Tilebein","given":"Meike"},{"family":"Gleich","given":"Ronald"}],"issued":{"date-parts":[["2010",10,12]]},"accessed":{"date-parts":[["2013",5,15]]}}},{"id":199,"uris":["http://zotero.org/users/local/S7r2cPod/items/WZP3U6V9"],"uri":["http://zotero.org/users/local/S7r2cPod/items/WZP3U6V9"],"itemData":{"id":199,"type":"article-journal","title":"Performance contracting in after-sales service supply chains","container-title":"Management Science","page":"1843-1858","volume":"53","issue":"12","source":"mansci.journal.informs.org","abstract":"Performance-based contracting is reshaping service support supply chains in capital-intensive industries such as aerospace and defense. Known as “power by the hour” in the private sector and as “performance-based logistics” (PBL) in defense contracting, it aims to replace traditionally used fixed-price and cost-plus contracts to improve product availability and reduce the cost of ownership by tying a supplier's compensation to the output value of the product generated by the customer (buyer).\nTo analyze implications of performance-based relationships, we introduce a multitask principal-agent model to support resource allocation and use it to analyze commonly observed contracts. In our model the customer (principal) faces a product availability requirement for the “uptime” of the end product. The customer then offers contracts contingent on availability to n suppliers (agents) of the key subsystems used in the product, who in turn exert cost reduction efforts and set spare-parts inventory investment levels. We show that the first-best solution can be achieved if channel members are risk neutral. When channel members are risk averse, we find that the second-best contract combines a fixed payment, a cost-sharing incentive, and a performance incentive. Furthermore, we study how these contracts evolve over the product deployment life cycle as uncertainty in support cost changes. Finally, we illustrate the application of our model to a problem based on aircraft maintenance data and show how the allocation of performance requirements and contractual terms change under various environmental assumptions.","ISSN":"0025-1909, 1526-5501","journalAbbreviation":"Management Science","language":"en","author":[{"family":"Kim","given":"Sang-Hyun"},{"family":"Cohen","given":"Morris A."},{"family":"Netessine","given":"Serguei"}],"issued":{"date-parts":[["2007",1,12]]},"accessed":{"date-parts":[["2013",5,15]]}}}],"schema":"https://github.com/citation-style-language/schema/raw/master/csl-citation.json"}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(Hypko et al., 2010; Kim et al., 2007)</w:t>
      </w:r>
      <w:r w:rsidRPr="00CC756C">
        <w:rPr>
          <w:rFonts w:cs="Times New Roman"/>
          <w:sz w:val="22"/>
        </w:rPr>
        <w:fldChar w:fldCharType="end"/>
      </w:r>
      <w:r w:rsidRPr="00CC756C">
        <w:rPr>
          <w:rFonts w:cs="Times New Roman"/>
          <w:sz w:val="22"/>
        </w:rPr>
        <w:t xml:space="preserve">.  </w:t>
      </w:r>
    </w:p>
    <w:p w:rsidR="00CC756C" w:rsidRPr="00CC756C" w:rsidRDefault="00CC756C" w:rsidP="00CC756C">
      <w:pPr>
        <w:tabs>
          <w:tab w:val="left" w:pos="567"/>
        </w:tabs>
        <w:rPr>
          <w:rFonts w:cs="Times New Roman"/>
          <w:color w:val="FF0000"/>
          <w:sz w:val="22"/>
        </w:rPr>
      </w:pPr>
      <w:r w:rsidRPr="00CC756C">
        <w:rPr>
          <w:rFonts w:cs="Times New Roman"/>
          <w:sz w:val="22"/>
        </w:rPr>
        <w:tab/>
        <w:t xml:space="preserve">TCE and AT propose that the IOR can be protected by the degree of contractual completeness and the way the partner is being rewarded respectively. PBCs can be characterized in terms of these two solutions to partner opportunism: </w:t>
      </w:r>
      <w:r w:rsidRPr="00CC756C">
        <w:rPr>
          <w:rFonts w:cs="Times New Roman"/>
          <w:i/>
          <w:sz w:val="22"/>
        </w:rPr>
        <w:t xml:space="preserve">low term specificity </w:t>
      </w:r>
      <w:r w:rsidRPr="00CC756C">
        <w:rPr>
          <w:rFonts w:cs="Times New Roman"/>
          <w:sz w:val="22"/>
        </w:rPr>
        <w:t>and</w:t>
      </w:r>
      <w:r w:rsidRPr="00CC756C">
        <w:rPr>
          <w:rFonts w:cs="Times New Roman"/>
          <w:i/>
          <w:sz w:val="22"/>
        </w:rPr>
        <w:t xml:space="preserve"> the partner’s rewards that are linked to performance (i.e. pay-for-performance)</w:t>
      </w:r>
      <w:r w:rsidRPr="00CC756C">
        <w:rPr>
          <w:rFonts w:cs="Times New Roman"/>
          <w:sz w:val="22"/>
        </w:rPr>
        <w:t xml:space="preserve"> </w:t>
      </w:r>
      <w:r w:rsidRPr="00CC756C">
        <w:rPr>
          <w:rFonts w:cs="Times New Roman"/>
          <w:sz w:val="22"/>
        </w:rPr>
        <w:fldChar w:fldCharType="begin"/>
      </w:r>
      <w:r w:rsidRPr="00CC756C">
        <w:rPr>
          <w:rFonts w:cs="Times New Roman"/>
          <w:sz w:val="22"/>
        </w:rPr>
        <w:instrText xml:space="preserve"> ADDIN ZOTERO_ITEM CSL_CITATION {"citationID":"vkc97va4q","properties":{"formattedCitation":"(Hypko et al., 2010; Martin, 2002; Ng &amp; Nudurupati, 2010)","plainCitation":"(Hypko et al., 2010; Martin, 2002; Ng &amp; Nudurupati, 2010)"},"citationItems":[{"id":191,"uris":["http://zotero.org/users/local/S7r2cPod/items/T8NXUCTZ"],"uri":["http://zotero.org/users/local/S7r2cPod/items/T8NXUCTZ"],"itemData":{"id":191,"type":"article-journal","title":"Clarifying the concept of performance-based contracting in manufacturing industries: A research synthesis","container-title":"Journal of Service Management","page":"625-655","volume":"21","issue":"5","source":"Emerald Publishing","ISSN":"1757-5818","shortTitle":"Clarifying the concept of performance-based contracting in manufacturing industries","author":[{"family":"Hypko","given":"Phillipp"},{"family":"Tilebein","given":"Meike"},{"family":"Gleich","given":"Ronald"}],"issued":{"date-parts":[["2010",10,12]]},"accessed":{"date-parts":[["2013",5,15]]}}},{"id":403,"uris":["http://zotero.org/users/local/S7r2cPod/items/ZX99BQ48"],"uri":["http://zotero.org/users/local/S7r2cPod/items/ZX99BQ48"],"itemData":{"id":403,"type":"article-journal","title":"Performance-based contracting for human services: Lessons for public procurement?","container-title":"Journal of Public Procurement","page":"55-71","volume":"2","issue":"1","source":"ProQuest","abstract":"This article looks at performance-based contracting by selected state human service agencies, the approaches being used and the results being achieved. It is concluded that performance-based contracting for human services does not appear to be accomplishing its objective: changing the behavior of contractors to focus more on performance. The lessons learned by state human service agencies appear to have relevance for larger issues of public procurement.","ISSN":"15350118","shortTitle":"Performance-based contracting for human services","language":"English","author":[{"family":"Martin","given":"Lawrence L."}],"issued":{"date-parts":[["2002"]]},"accessed":{"date-parts":[["2013",7,5]]}}},{"id":248,"uris":["http://zotero.org/users/local/S7r2cPod/items/5TH3CUGD"],"uri":["http://zotero.org/users/local/S7r2cPod/items/5TH3CUGD"],"itemData":{"id":248,"type":"article-journal","title":"Outcome-based service contracts in the defence industry – mitigating the challenges","container-title":"Journal of Service Management","page":"656-674","volume":"21","issue":"5","source":"Emerald Publishing","ISSN":"1757-5818","author":[{"family":"Ng","given":"Irene C. L."},{"family":"Nudurupati","given":"Sai S."}],"issued":{"date-parts":[["2010",10,12]]},"accessed":{"date-parts":[["2013",5,15]]}}}],"schema":"https://github.com/citation-style-language/schema/raw/master/csl-citation.json"}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(Hy</w:t>
      </w:r>
      <w:r w:rsidR="009577D5">
        <w:rPr>
          <w:rFonts w:cs="Times New Roman"/>
          <w:sz w:val="22"/>
        </w:rPr>
        <w:t xml:space="preserve">pko et al., 2010; </w:t>
      </w:r>
      <w:r w:rsidRPr="00CC756C">
        <w:rPr>
          <w:rFonts w:cs="Times New Roman"/>
          <w:sz w:val="22"/>
        </w:rPr>
        <w:t>Ng &amp; Nudurupati, 2010)</w:t>
      </w:r>
      <w:r w:rsidRPr="00CC756C">
        <w:rPr>
          <w:rFonts w:cs="Times New Roman"/>
          <w:sz w:val="22"/>
        </w:rPr>
        <w:fldChar w:fldCharType="end"/>
      </w:r>
      <w:r w:rsidRPr="00CC756C">
        <w:rPr>
          <w:rFonts w:cs="Times New Roman"/>
          <w:sz w:val="22"/>
        </w:rPr>
        <w:t>. These two characteris</w:t>
      </w:r>
      <w:r w:rsidR="009577D5">
        <w:rPr>
          <w:rFonts w:cs="Times New Roman"/>
          <w:sz w:val="22"/>
        </w:rPr>
        <w:t>tics each may foster innovation. W</w:t>
      </w:r>
      <w:r w:rsidRPr="00CC756C">
        <w:rPr>
          <w:rFonts w:cs="Times New Roman"/>
          <w:sz w:val="22"/>
        </w:rPr>
        <w:t xml:space="preserve">e define innovation as an activity to be conducted </w:t>
      </w:r>
      <w:r w:rsidRPr="00CC756C">
        <w:rPr>
          <w:rFonts w:cs="Times New Roman"/>
          <w:i/>
          <w:sz w:val="22"/>
        </w:rPr>
        <w:t xml:space="preserve">by the partner </w:t>
      </w:r>
      <w:r w:rsidRPr="00CC756C">
        <w:rPr>
          <w:rFonts w:cs="Times New Roman"/>
          <w:sz w:val="22"/>
        </w:rPr>
        <w:fldChar w:fldCharType="begin"/>
      </w:r>
      <w:r w:rsidRPr="00CC756C">
        <w:rPr>
          <w:rFonts w:cs="Times New Roman"/>
          <w:sz w:val="22"/>
        </w:rPr>
        <w:instrText xml:space="preserve"> ADDIN EN.CITE &lt;EndNote&gt;&lt;Cite&gt;&lt;Author&gt;Johnson&lt;/Author&gt;&lt;Year&gt;2007&lt;/Year&gt;&lt;RecNum&gt;1398&lt;/RecNum&gt;&lt;DisplayText&gt;(Johnson and Medcof, 2007)&lt;/DisplayText&gt;&lt;record&gt;&lt;rec-number&gt;1398&lt;/rec-number&gt;&lt;foreign-keys&gt;&lt;key app="EN" db-id="29axv22zge9wf9edtz25tr5w9tdf5psxstde"&gt;1398&lt;/key&gt;&lt;/foreign-keys&gt;&lt;ref-type name="Journal Article"&gt;17&lt;/ref-type&gt;&lt;contributors&gt;&lt;authors&gt;&lt;author&gt;Johnson, W.H.A.&lt;/author&gt;&lt;author&gt;Medcof, J.W.&lt;/author&gt;&lt;/authors&gt;&lt;/contributors&gt;&lt;titles&gt;&lt;title&gt;Motivating proactive subsidiary innovation:Agent-based theory and socialization models in global R&amp;amp;D&lt;/title&gt;&lt;secondary-title&gt;Journal of International Management&lt;/secondary-title&gt;&lt;/titles&gt;&lt;pages&gt;472-487&lt;/pages&gt;&lt;volume&gt;13&lt;/volume&gt;&lt;number&gt;4&lt;/number&gt;&lt;dates&gt;&lt;year&gt;2007&lt;/year&gt;&lt;/dates&gt;&lt;urls&gt;&lt;/urls&gt;&lt;/record&gt;&lt;/Cite&gt;&lt;/EndNote&gt;</w:instrText>
      </w:r>
      <w:r w:rsidRPr="00CC756C">
        <w:rPr>
          <w:rFonts w:cs="Times New Roman"/>
          <w:sz w:val="22"/>
        </w:rPr>
        <w:fldChar w:fldCharType="separate"/>
      </w:r>
      <w:r w:rsidRPr="00CC756C">
        <w:rPr>
          <w:rFonts w:cs="Times New Roman"/>
          <w:noProof/>
          <w:sz w:val="22"/>
        </w:rPr>
        <w:t>(</w:t>
      </w:r>
      <w:hyperlink w:anchor="_ENREF_32" w:tooltip="Johnson, 2007 #1398" w:history="1">
        <w:r w:rsidRPr="00CC756C">
          <w:rPr>
            <w:rFonts w:cs="Times New Roman"/>
            <w:noProof/>
            <w:sz w:val="22"/>
          </w:rPr>
          <w:t>Johnson and Medcof, 2007</w:t>
        </w:r>
      </w:hyperlink>
      <w:r w:rsidRPr="00CC756C">
        <w:rPr>
          <w:rFonts w:cs="Times New Roman"/>
          <w:noProof/>
          <w:sz w:val="22"/>
        </w:rPr>
        <w:t>)</w:t>
      </w:r>
      <w:r w:rsidRPr="00CC756C">
        <w:rPr>
          <w:rFonts w:cs="Times New Roman"/>
          <w:sz w:val="22"/>
        </w:rPr>
        <w:fldChar w:fldCharType="end"/>
      </w:r>
      <w:r w:rsidRPr="00CC756C">
        <w:rPr>
          <w:rFonts w:cs="Times New Roman"/>
          <w:sz w:val="22"/>
        </w:rPr>
        <w:t xml:space="preserve">. This definition is derived from contracting literature, where innovation refers to all partner-initiated, proactive undertakings that result in new or improved ways of delivering transactions. The key premise of this definition of innovation is that the focal organization taps into the partner’s entrepreneurial ideas </w:t>
      </w:r>
      <w:r w:rsidRPr="00CC756C">
        <w:rPr>
          <w:rFonts w:cs="Times New Roman"/>
          <w:sz w:val="22"/>
        </w:rPr>
        <w:fldChar w:fldCharType="begin"/>
      </w:r>
      <w:r w:rsidRPr="00CC756C">
        <w:rPr>
          <w:rFonts w:cs="Times New Roman"/>
          <w:sz w:val="22"/>
        </w:rPr>
        <w:instrText xml:space="preserve"> ADDIN ZOTERO_ITEM CSL_CITATION {"citationID":"l9pj8dq5c","properties":{"formattedCitation":"(Shimizu, 2012)","plainCitation":"(Shimizu, 2012)"},"citationItems":[{"id":413,"uris":["http://zotero.org/users/local/S7r2cPod/items/GZMAJIAN"],"uri":["http://zotero.org/users/local/S7r2cPod/items/GZMAJIAN"],"itemData":{"id":413,"type":"article-journal","title":"Risks of corporate entrepreneurship: Autonomy and agency issues","container-title":"Organization Science","page":"194-206","volume":"23","issue":"1","source":"orgsci.journal.informs.org","abstract":"Although research on corporate entrepreneurship (CE) has attracted increasing attention, risks of CE are not well examined. In this paper, we examine direct and indirect agency risks associated with providing middle and operational managers with autonomy in the hopes of encouraging CE. The key ideas behind our discussion involve two dilemmas of CE. (1) To solve the risk-averseness problem of middle and operational managers and unleash their entrepreneurial ideas, top management needs to encourage autonomous behaviors, which can also exacerbate a different type of agency problem: opportunistic behaviors. (2) Although the generation of new ideas to explore new strategic directions and/or opportunities is important, the very newness of the ideas make them difficult to evaluate, and thus the selection process may be perceived as unfair by some managers. We propose that (a) stock options, (b) passive monitoring, and (c) perceived procedural justice would attenuate the negative side effects associated with CE, such as opportunistic behaviors and perceived unfairness. Although research in CE often stresses autonomy of middle and operational managers for new idea generation as important, examining the whole process in terms of idea generation, selection, and implementation with respect to potential risks will extend the CE literature.","ISSN":"1047-7039, 1526-5455","shortTitle":"Risks of Corporate Entrepreneurship","journalAbbreviation":"Organization Science","language":"en","author":[{"family":"Shimizu","given":"Katsuhiko (Katsu)"}],"issued":{"date-parts":[["2012",1,1]]},"accessed":{"date-parts":[["2013",7,8]]}}}],"schema":"https://github.com/citation-style-language/schema/raw/master/csl-citation.json"} </w:instrText>
      </w:r>
      <w:r w:rsidRPr="00CC756C">
        <w:rPr>
          <w:rFonts w:cs="Times New Roman"/>
          <w:sz w:val="22"/>
        </w:rPr>
        <w:fldChar w:fldCharType="separate"/>
      </w:r>
      <w:r w:rsidRPr="00CC756C">
        <w:rPr>
          <w:rFonts w:cs="Times New Roman"/>
          <w:sz w:val="22"/>
        </w:rPr>
        <w:t>(Shimizu, 2012)</w:t>
      </w:r>
      <w:r w:rsidRPr="00CC756C">
        <w:rPr>
          <w:rFonts w:cs="Times New Roman"/>
          <w:sz w:val="22"/>
        </w:rPr>
        <w:fldChar w:fldCharType="end"/>
      </w:r>
      <w:r w:rsidRPr="00CC756C">
        <w:rPr>
          <w:rFonts w:cs="Times New Roman"/>
          <w:sz w:val="22"/>
        </w:rPr>
        <w:t xml:space="preserve">. Both parties may benefit from the innovation: for example, when innovation results in a better service or product for the focal organization and in more efficient delivery of the transaction for the partner. </w:t>
      </w:r>
      <w:r w:rsidR="00BC52A2">
        <w:rPr>
          <w:rFonts w:cs="Times New Roman"/>
          <w:sz w:val="22"/>
        </w:rPr>
        <w:t>W</w:t>
      </w:r>
      <w:r w:rsidRPr="00CC756C">
        <w:rPr>
          <w:rFonts w:cs="Times New Roman"/>
          <w:sz w:val="22"/>
        </w:rPr>
        <w:t>e conduct more detailed analyses by distinguishing between incremental and radical innovation. Incremental innovation refers to minor improvements or adjustments in the existing products or services and involves the use of existing</w:t>
      </w:r>
      <w:r w:rsidR="00BC52A2">
        <w:rPr>
          <w:rFonts w:cs="Times New Roman"/>
          <w:sz w:val="22"/>
        </w:rPr>
        <w:t xml:space="preserve"> knowledge </w:t>
      </w:r>
      <w:r w:rsidRPr="00CC756C">
        <w:rPr>
          <w:rFonts w:cs="Times New Roman"/>
          <w:sz w:val="22"/>
        </w:rPr>
        <w:fldChar w:fldCharType="begin"/>
      </w:r>
      <w:r w:rsidRPr="00CC756C">
        <w:rPr>
          <w:rFonts w:cs="Times New Roman"/>
          <w:sz w:val="22"/>
        </w:rPr>
        <w:instrText xml:space="preserve"> ADDIN ZOTERO_ITEM CSL_CITATION {"citationID":"1af6cpomet","properties":{"formattedCitation":"(Dewar &amp; Dutton, 1986)","plainCitation":"(Dewar &amp; Dutton, 1986)"},"citationItems":[{"id":502,"uris":["http://zotero.org/users/local/S7r2cPod/items/IQBTQHEF"],"uri":["http://zotero.org/users/local/S7r2cPod/items/IQBTQHEF"],"itemData":{"id":502,"type":"article-journal","title":"The adoption of radical and incremental innovations: An empirical analysis","container-title":"Management Science","page":"1422-1433","volume":"32","issue":"11","source":"mansci.journal.informs.org","abstract":"This paper proposes and empirically tests whether different models are needed to predict the adoption of technical process innovations that contain a high degree of new knowledge (radical innovations) and a low degree of new knowledge (incremental innovations). Results from a sample of 40 footwear manufacturers suggest that extensive knowledge depth (measured by the number of technical specialists) is important for the adoption of both innovation types. Larger firms are likely to have both more technical specialists and to adopt radical innovations. The study did not find associations between the adoption of either innovation type and decentralized decision making, managerial attitudes toward change, and exposure to external information. By implication, managers trying to encourage technical process innovation adoption need not be as concerned about modifying centralization of decision making, managerial attitudes and exposure to external information as would managers trying to encourage other types of innovation adoption, e.g., innovations in social services where these factors have been found to be important. Instead, investment in human capital in the form of technical specialists appears to be a major facilitator of technical process innovation adoption.","ISSN":"0025-1909, 1526-5501","shortTitle":"The Adoption of Radical and Incremental Innovations","journalAbbreviation":"Management Science","language":"en","author":[{"family":"Dewar","given":"Robert D."},{"family":"Dutton","given":"Jane E."}],"issued":{"date-parts":[["1986",1,11]]},"accessed":{"date-parts":[["2013",10,21]]}}}],"schema":"https://github.com/citation-style-language/schema/raw/master/csl-citation.json"} </w:instrText>
      </w:r>
      <w:r w:rsidRPr="00CC756C">
        <w:rPr>
          <w:rFonts w:cs="Times New Roman"/>
          <w:sz w:val="22"/>
        </w:rPr>
        <w:fldChar w:fldCharType="separate"/>
      </w:r>
      <w:r w:rsidRPr="00CC756C">
        <w:rPr>
          <w:rFonts w:cs="Times New Roman"/>
          <w:sz w:val="22"/>
        </w:rPr>
        <w:t>(Dewar &amp; Dutton, 1986)</w:t>
      </w:r>
      <w:r w:rsidRPr="00CC756C">
        <w:rPr>
          <w:rFonts w:cs="Times New Roman"/>
          <w:sz w:val="22"/>
        </w:rPr>
        <w:fldChar w:fldCharType="end"/>
      </w:r>
      <w:r w:rsidRPr="00CC756C">
        <w:rPr>
          <w:rFonts w:cs="Times New Roman"/>
          <w:sz w:val="22"/>
        </w:rPr>
        <w:t>. Radical innovation involves engaging in new knowle</w:t>
      </w:r>
      <w:r w:rsidR="00BC52A2">
        <w:rPr>
          <w:rFonts w:cs="Times New Roman"/>
          <w:sz w:val="22"/>
        </w:rPr>
        <w:t xml:space="preserve">dge domains </w:t>
      </w:r>
      <w:r w:rsidRPr="00CC756C">
        <w:rPr>
          <w:rFonts w:cs="Times New Roman"/>
          <w:sz w:val="22"/>
        </w:rPr>
        <w:t xml:space="preserve">to develop a completely new product or service, or to fundamentally change the configuration of existing products or services </w:t>
      </w:r>
      <w:r w:rsidRPr="00CC756C">
        <w:rPr>
          <w:rFonts w:cs="Times New Roman"/>
          <w:sz w:val="22"/>
        </w:rPr>
        <w:fldChar w:fldCharType="begin"/>
      </w:r>
      <w:r w:rsidRPr="00CC756C">
        <w:rPr>
          <w:rFonts w:cs="Times New Roman"/>
          <w:sz w:val="22"/>
        </w:rPr>
        <w:instrText xml:space="preserve"> ADDIN ZOTERO_ITEM CSL_CITATION {"citationID":"uMbysFJ1","properties":{"formattedCitation":"(S. R. Das &amp; Joshi, 2007; Dewar &amp; Dutton, 1986; Roy et al., 2004)","plainCitation":"(S. R. Das &amp; Joshi, 2007; Dewar &amp; Dutton, 1986; Roy et al., 2004)"},"citationItems":[{"id":474,"uris":["http://zotero.org/users/local/S7r2cPod/items/6ET67SB7"],"uri":["http://zotero.org/users/local/S7r2cPod/items/6ET67SB7"],"itemData":{"id":474,"type":"article-journal","title":"Process innovativeness in technology services organizations: Roles of differentiation strategy, operational autonomy and risk-taking propensity","container-title":"Journal of Operations Management","page":"643-660","volume":"25","issue":"3","source":"ScienceDirect","abstract":"This paper examines the effect of differentiation strategy on process innovativeness in technology services organization (TSOs). In addition it examines the direct and moderating effects of two organizational constructs—operational autonomy and risk-taking propensity. Analysis of data from 102 firms in the mid-Atlantic region of the USA indicates that both differentiation strategy and operational autonomy are positively related with process innovativeness, while an organization's risk-taking propensity has no such relationship. In addition, operational autonomy moderates the relationship between differentiation strategy and process innovativeness, while no evidence was found for the moderating effect of risk-taking propensity on this relationship. Further sub-group analysis shows that in TSOs with high levels of operational autonomy, risk-taking propensity has a positive moderating effect on the above relationship. Post hoc analysis also establishes positive links among process innovativeness and firm performance.","ISSN":"0272-6963","shortTitle":"Process innovativeness in technology services organizations","journalAbbreviation":"Journal of Operations Management","author":[{"family":"Das","given":"Sidhartha R."},{"family":"Joshi","given":"Maheshkumar P."}],"issued":{"date-parts":[["2007",4]]},"accessed":{"date-parts":[["2013",9,25]]}}},{"id":502,"uris":["http://zotero.org/users/local/S7r2cPod/items/IQBTQHEF"],"uri":["http://zotero.org/users/local/S7r2cPod/items/IQBTQHEF"],"itemData":{"id":502,"type":"article-journal","title":"The adoption of radical and incremental innovations: An empirical analysis","container-title":"Management Science","page":"1422-1433","volume":"32","issue":"11","source":"mansci.journal.informs.org","abstract":"This paper proposes and empirically tests whether different models are needed to predict the adoption of technical process innovations that contain a high degree of new knowledge (radical innovations) and a low degree of new knowledge (incremental innovations). Results from a sample of 40 footwear manufacturers suggest that extensive knowledge depth (measured by the number of technical specialists) is important for the adoption of both innovation types. Larger firms are likely to have both more technical specialists and to adopt radical innovations. The study did not find associations between the adoption of either innovation type and decentralized decision making, managerial attitudes toward change, and exposure to external information. By implication, managers trying to encourage technical process innovation adoption need not be as concerned about modifying centralization of decision making, managerial attitudes and exposure to external information as would managers trying to encourage other types of innovation adoption, e.g., innovations in social services where these factors have been found to be important. Instead, investment in human capital in the form of technical specialists appears to be a major facilitator of technical process innovation adoption.","ISSN":"0025-1909, 1526-5501","shortTitle":"The Adoption of Radical and Incremental Innovations","journalAbbreviation":"Management Science","language":"en","author":[{"family":"Dewar","given":"Robert D."},{"family":"Dutton","given":"Jane E."}],"issued":{"date-parts":[["1986",1,11]]},"accessed":{"date-parts":[["2013",10,21]]}}},{"id":263,"uris":["http://zotero.org/users/local/S7r2cPod/items/CQCH62QX"],"uri":["http://zotero.org/users/local/S7r2cPod/items/CQCH62QX"],"itemData":{"id":263,"type":"article-journal","title":"Innovation generation in supply chain relationships: A conceptual model and research propositions","container-title":"Journal of the Academy of Marketing Science","page":"61-79","volume":"32","issue":"1","source":"link.springer.com","abstract":"Innovation generation has increasingly been recognized as an outcome of interaction between a firm and various outside entities. According to this view, supplier involvement and alliances are routes to innovation generation. Despite this realization, there is a dearth of research, both conceptual and empirical, focusing on innovation generation in buyer-seller relationships in supply chains. In an attempt to fill this void, this article develops a conceptual model of innovation generation in buyer-seller relationships in upstream supply chains. The authors propose that innovation generation in supply chain relationships, both incremental and radical, is a consequence of interactions between buyers and sellers. They also delineate factors internal and external to the relationship that moderate the link between interaction and innovation generation. Finally, the authors discuss managerial implications of their research and offer guidelines for future empirical research.","ISSN":"0092-0703, 1552-7824","shortTitle":"Innovation generation in supply chain relationships","journalAbbreviation":"J. of the Acad. Mark. Sci.","language":"en","author":[{"family":"Roy","given":"Subroto"},{"family":"Sivakumar","given":"K."},{"family":"Wilkinson","given":"Ian F."}],"issued":{"date-parts":[["2004",12,1]]},"accessed":{"date-parts":[["2013",5,15]]}}}],"schema":"https://github.com/citation-style-language/schema/raw/master/csl-citation.json"} </w:instrText>
      </w:r>
      <w:r w:rsidRPr="00CC756C">
        <w:rPr>
          <w:rFonts w:cs="Times New Roman"/>
          <w:sz w:val="22"/>
        </w:rPr>
        <w:fldChar w:fldCharType="separate"/>
      </w:r>
      <w:r w:rsidR="00BC52A2">
        <w:rPr>
          <w:rFonts w:cs="Times New Roman"/>
          <w:sz w:val="22"/>
        </w:rPr>
        <w:t>(Das &amp; Joshi, 2007</w:t>
      </w:r>
      <w:r w:rsidRPr="00CC756C">
        <w:rPr>
          <w:rFonts w:cs="Times New Roman"/>
          <w:sz w:val="22"/>
        </w:rPr>
        <w:t>)</w:t>
      </w:r>
      <w:r w:rsidRPr="00CC756C">
        <w:rPr>
          <w:rFonts w:cs="Times New Roman"/>
          <w:sz w:val="22"/>
        </w:rPr>
        <w:fldChar w:fldCharType="end"/>
      </w:r>
      <w:r w:rsidRPr="00CC756C">
        <w:rPr>
          <w:rFonts w:cs="Times New Roman"/>
          <w:sz w:val="22"/>
        </w:rPr>
        <w:t xml:space="preserve">. </w:t>
      </w:r>
    </w:p>
    <w:p w:rsidR="00CC756C" w:rsidRPr="00CC756C" w:rsidRDefault="00CC756C" w:rsidP="00CC756C">
      <w:pPr>
        <w:rPr>
          <w:rFonts w:cs="Times New Roman"/>
          <w:b/>
          <w:sz w:val="22"/>
        </w:rPr>
      </w:pPr>
    </w:p>
    <w:p w:rsidR="00CC756C" w:rsidRPr="00CC756C" w:rsidRDefault="00CC756C" w:rsidP="00CC756C">
      <w:pPr>
        <w:pStyle w:val="ListParagraph"/>
        <w:numPr>
          <w:ilvl w:val="1"/>
          <w:numId w:val="1"/>
        </w:numPr>
        <w:tabs>
          <w:tab w:val="left" w:pos="567"/>
        </w:tabs>
        <w:ind w:left="0" w:firstLine="0"/>
        <w:rPr>
          <w:rFonts w:cs="Times New Roman"/>
          <w:i/>
          <w:sz w:val="22"/>
        </w:rPr>
      </w:pPr>
      <w:r w:rsidRPr="00CC756C">
        <w:rPr>
          <w:rFonts w:cs="Times New Roman"/>
          <w:i/>
          <w:sz w:val="22"/>
        </w:rPr>
        <w:t>Low Term Specificity and Incremental and Radical Innovation</w:t>
      </w:r>
    </w:p>
    <w:p w:rsidR="00CC756C" w:rsidRPr="00CC756C" w:rsidRDefault="009577D5" w:rsidP="00CC756C">
      <w:pPr>
        <w:ind w:firstLine="0"/>
        <w:rPr>
          <w:rFonts w:cs="Times New Roman"/>
          <w:sz w:val="22"/>
        </w:rPr>
      </w:pPr>
      <w:r>
        <w:rPr>
          <w:rFonts w:cs="Times New Roman"/>
          <w:bCs/>
          <w:sz w:val="22"/>
        </w:rPr>
        <w:t>T</w:t>
      </w:r>
      <w:r w:rsidR="00CC756C" w:rsidRPr="00CC756C">
        <w:rPr>
          <w:rFonts w:cs="Times New Roman"/>
          <w:sz w:val="22"/>
        </w:rPr>
        <w:t xml:space="preserve">erm specificity has been mentioned in both TCE and AT studies on contracting and innovation. Labeled contractual detail in TCE, Wang, Yeung, and Zhang </w:t>
      </w:r>
      <w:r w:rsidR="00CC756C" w:rsidRPr="00CC756C">
        <w:rPr>
          <w:rFonts w:cs="Times New Roman"/>
          <w:sz w:val="22"/>
        </w:rPr>
        <w:fldChar w:fldCharType="begin"/>
      </w:r>
      <w:r w:rsidR="00CC756C" w:rsidRPr="00CC756C">
        <w:rPr>
          <w:rFonts w:cs="Times New Roman"/>
          <w:sz w:val="22"/>
        </w:rPr>
        <w:instrText xml:space="preserve"> ADDIN EN.CITE &lt;EndNote&gt;&lt;Cite ExcludeAuth="1"&gt;&lt;Author&gt;Wang&lt;/Author&gt;&lt;Year&gt;2011&lt;/Year&gt;&lt;RecNum&gt;1399&lt;/RecNum&gt;&lt;DisplayText&gt;(2011)&lt;/DisplayText&gt;&lt;record&gt;&lt;rec-number&gt;1399&lt;/rec-number&gt;&lt;foreign-keys&gt;&lt;key app="EN" db-id="29axv22zge9wf9edtz25tr5w9tdf5psxstde"&gt;1399&lt;/key&gt;&lt;/foreign-keys&gt;&lt;ref-type name="Journal Article"&gt;17&lt;/ref-type&gt;&lt;contributors&gt;&lt;authors&gt;&lt;author&gt;Wang, L.&lt;/author&gt;&lt;author&gt;Yeung, J.&lt;/author&gt;&lt;author&gt;Zhang, M.&lt;/author&gt;&lt;/authors&gt;&lt;/contributors&gt;&lt;titles&gt;&lt;title&gt;The impact of trust and contract on innovation performance: The moderating role of environmental uncertainty&lt;/title&gt;&lt;secondary-title&gt;International Journal of Production Economics&lt;/secondary-title&gt;&lt;/titles&gt;&lt;pages&gt;114-122&lt;/pages&gt;&lt;volume&gt;134&lt;/volume&gt;&lt;number&gt;1&lt;/number&gt;&lt;dates&gt;&lt;year&gt;2011&lt;/year&gt;&lt;/dates&gt;&lt;urls&gt;&lt;/urls&gt;&lt;/record&gt;&lt;/Cite&gt;&lt;/EndNote&gt;</w:instrText>
      </w:r>
      <w:r w:rsidR="00CC756C" w:rsidRPr="00CC756C">
        <w:rPr>
          <w:rFonts w:cs="Times New Roman"/>
          <w:sz w:val="22"/>
        </w:rPr>
        <w:fldChar w:fldCharType="separate"/>
      </w:r>
      <w:r w:rsidR="00CC756C" w:rsidRPr="00CC756C">
        <w:rPr>
          <w:rFonts w:cs="Times New Roman"/>
          <w:noProof/>
          <w:sz w:val="22"/>
        </w:rPr>
        <w:t>(</w:t>
      </w:r>
      <w:hyperlink w:anchor="_ENREF_69" w:tooltip="Wang, 2011 #1399" w:history="1">
        <w:r w:rsidR="00CC756C" w:rsidRPr="00CC756C">
          <w:rPr>
            <w:rFonts w:cs="Times New Roman"/>
            <w:noProof/>
            <w:sz w:val="22"/>
          </w:rPr>
          <w:t>2011</w:t>
        </w:r>
      </w:hyperlink>
      <w:r w:rsidR="00CC756C" w:rsidRPr="00CC756C">
        <w:rPr>
          <w:rFonts w:cs="Times New Roman"/>
          <w:noProof/>
          <w:sz w:val="22"/>
        </w:rPr>
        <w:t>)</w:t>
      </w:r>
      <w:r w:rsidR="00CC756C" w:rsidRPr="00CC756C">
        <w:rPr>
          <w:rFonts w:cs="Times New Roman"/>
          <w:sz w:val="22"/>
        </w:rPr>
        <w:fldChar w:fldCharType="end"/>
      </w:r>
      <w:r w:rsidR="00CC756C" w:rsidRPr="00CC756C">
        <w:rPr>
          <w:rFonts w:cs="Times New Roman"/>
          <w:sz w:val="22"/>
        </w:rPr>
        <w:t xml:space="preserve"> argue that detailed contracts may hamper existing knowledge exchange and innovation because of the clear, contractual specification of what is and is not allowed. </w:t>
      </w:r>
      <w:r>
        <w:rPr>
          <w:rFonts w:cs="Times New Roman"/>
          <w:sz w:val="22"/>
        </w:rPr>
        <w:t>U</w:t>
      </w:r>
      <w:r w:rsidR="00CC756C" w:rsidRPr="00CC756C">
        <w:rPr>
          <w:rFonts w:cs="Times New Roman"/>
          <w:sz w:val="22"/>
        </w:rPr>
        <w:t xml:space="preserve">sing an AT perspective, Johnson and Medcof </w:t>
      </w:r>
      <w:r w:rsidR="00CC756C" w:rsidRPr="00CC756C">
        <w:rPr>
          <w:rFonts w:cs="Times New Roman"/>
          <w:sz w:val="22"/>
        </w:rPr>
        <w:fldChar w:fldCharType="begin"/>
      </w:r>
      <w:r w:rsidR="00CC756C" w:rsidRPr="00CC756C">
        <w:rPr>
          <w:rFonts w:cs="Times New Roman"/>
          <w:sz w:val="22"/>
        </w:rPr>
        <w:instrText xml:space="preserve"> ADDIN EN.CITE &lt;EndNote&gt;&lt;Cite ExcludeAuth="1"&gt;&lt;Author&gt;Johnson&lt;/Author&gt;&lt;Year&gt;2007&lt;/Year&gt;&lt;RecNum&gt;1398&lt;/RecNum&gt;&lt;DisplayText&gt;(2007)&lt;/DisplayText&gt;&lt;record&gt;&lt;rec-number&gt;1398&lt;/rec-number&gt;&lt;foreign-keys&gt;&lt;key app="EN" db-id="29axv22zge9wf9edtz25tr5w9tdf5psxstde"&gt;1398&lt;/key&gt;&lt;/foreign-keys&gt;&lt;ref-type name="Journal Article"&gt;17&lt;/ref-type&gt;&lt;contributors&gt;&lt;authors&gt;&lt;author&gt;Johnson, W.H.A.&lt;/author&gt;&lt;author&gt;Medcof, J.W.&lt;/author&gt;&lt;/authors&gt;&lt;/contributors&gt;&lt;titles&gt;&lt;title&gt;Motivating proactive subsidiary innovation:Agent-based theory and socialization models in global R&amp;amp;D&lt;/title&gt;&lt;secondary-title&gt;Journal of International Management&lt;/secondary-title&gt;&lt;/titles&gt;&lt;pages&gt;472-487&lt;/pages&gt;&lt;volume&gt;13&lt;/volume&gt;&lt;number&gt;4&lt;/number&gt;&lt;dates&gt;&lt;year&gt;2007&lt;/year&gt;&lt;/dates&gt;&lt;urls&gt;&lt;/urls&gt;&lt;/record&gt;&lt;/Cite&gt;&lt;/EndNote&gt;</w:instrText>
      </w:r>
      <w:r w:rsidR="00CC756C" w:rsidRPr="00CC756C">
        <w:rPr>
          <w:rFonts w:cs="Times New Roman"/>
          <w:sz w:val="22"/>
        </w:rPr>
        <w:fldChar w:fldCharType="separate"/>
      </w:r>
      <w:r w:rsidR="00CC756C" w:rsidRPr="00CC756C">
        <w:rPr>
          <w:rFonts w:cs="Times New Roman"/>
          <w:noProof/>
          <w:sz w:val="22"/>
        </w:rPr>
        <w:t>(</w:t>
      </w:r>
      <w:hyperlink w:anchor="_ENREF_39" w:tooltip="Johnson, 2007 #1398" w:history="1">
        <w:r w:rsidR="00CC756C" w:rsidRPr="00CC756C">
          <w:rPr>
            <w:rFonts w:cs="Times New Roman"/>
            <w:noProof/>
            <w:sz w:val="22"/>
          </w:rPr>
          <w:t>2007</w:t>
        </w:r>
      </w:hyperlink>
      <w:r w:rsidR="00CC756C" w:rsidRPr="00CC756C">
        <w:rPr>
          <w:rFonts w:cs="Times New Roman"/>
          <w:noProof/>
          <w:sz w:val="22"/>
        </w:rPr>
        <w:t>)</w:t>
      </w:r>
      <w:r w:rsidR="00CC756C" w:rsidRPr="00CC756C">
        <w:rPr>
          <w:rFonts w:cs="Times New Roman"/>
          <w:sz w:val="22"/>
        </w:rPr>
        <w:fldChar w:fldCharType="end"/>
      </w:r>
      <w:r w:rsidR="00CC756C" w:rsidRPr="00CC756C">
        <w:rPr>
          <w:rFonts w:cs="Times New Roman"/>
          <w:sz w:val="22"/>
        </w:rPr>
        <w:t xml:space="preserve"> argue that specifying only the desired outcomes, as is the case in PBCs, allows the partner room for innovation. </w:t>
      </w:r>
    </w:p>
    <w:p w:rsidR="00CC756C" w:rsidRPr="00CC756C" w:rsidRDefault="00CC756C" w:rsidP="00CC756C">
      <w:pPr>
        <w:ind w:firstLine="720"/>
        <w:rPr>
          <w:rFonts w:cs="Times New Roman"/>
          <w:sz w:val="22"/>
        </w:rPr>
      </w:pPr>
      <w:r w:rsidRPr="00CC756C">
        <w:rPr>
          <w:rFonts w:cs="Times New Roman"/>
          <w:sz w:val="22"/>
        </w:rPr>
        <w:t xml:space="preserve">Low term specificity gives the partner </w:t>
      </w:r>
      <w:r w:rsidRPr="00CC756C">
        <w:rPr>
          <w:rFonts w:cs="Times New Roman"/>
          <w:bCs/>
          <w:sz w:val="22"/>
        </w:rPr>
        <w:t xml:space="preserve">the autonomy to decide how to attain the performance goals which both parties have agreed upon, and control over the processes and procedures of their own work </w:t>
      </w:r>
      <w:r w:rsidRPr="00CC756C">
        <w:rPr>
          <w:rFonts w:cs="Times New Roman"/>
          <w:bCs/>
          <w:sz w:val="22"/>
        </w:rPr>
        <w:fldChar w:fldCharType="begin"/>
      </w:r>
      <w:r w:rsidRPr="00CC756C">
        <w:rPr>
          <w:rFonts w:cs="Times New Roman"/>
          <w:bCs/>
          <w:sz w:val="22"/>
        </w:rPr>
        <w:instrText xml:space="preserve"> ADDIN ZOTERO_ITEM CSL_CITATION {"citationID":"0xl3aU6H","properties":{"formattedCitation":"(Bailyn, 1985; S. R. Das &amp; Joshi, 2007; Raelin, 1989)","plainCitation":"(Bailyn, 1985; S. R. Das &amp; Joshi, 2007; Raelin, 1989)"},"citationItems":[{"id":477,"uris":["http://zotero.org/users/local/S7r2cPod/items/GD382HUQ"],"uri":["http://zotero.org/users/local/S7r2cPod/items/GD382HUQ"],"itemData":{"id":477,"type":"article-journal","title":"Autonomy in the industrial R&amp;D lab","container-title":"Human Resource Management","page":"129–146","volume":"24","issue":"2","source":"Wiley Online Library","abstract":"This article distinguishes between “strategic autonomy” (the freedom to set one's own research agenda) and “operational autonomy” (the freedom, once a problem has been set, to attack it by means determined by oneself, within given resource constraints). The article argues, and presents some preliminary corroborating data, that technical careers in the R&amp;D lab should start lower on strategic than on operational autonomy, that operational autonomy should show initial fairly rapid increase, which should be followed by increases in strategic autonomy, and that thereafter a number of different career paths should be available for technical employees. Most labs, however, seem to espouse a philosophy of strategic autonomy combined with operational controls, which creates dilemmas and contradictions in the technical career, particularly at its start. It is proposed that these two aspects of autonomy can usefully be thought of as a two-dimensional grid. Different positions on this grid seem to fit with different orientations and different tasks, and require different strategies for career management. The article ends with a discussion of these management implications.","ISSN":"1099-050X","language":"en","author":[{"family":"Bailyn","given":"Lotte"}],"issued":{"date-parts":[["1985"]]},"accessed":{"date-parts":[["2013",9,25]]}}},{"id":474,"uris":["http://zotero.org/users/local/S7r2cPod/items/6ET67SB7"],"uri":["http://zotero.org/users/local/S7r2cPod/items/6ET67SB7"],"itemData":{"id":474,"type":"article-journal","title":"Process innovativeness in technology services organizations: Roles of differentiation strategy, operational autonomy and risk-taking propensity","container-title":"Journal of Operations Management","page":"643-660","volume":"25","issue":"3","source":"ScienceDirect","abstract":"This paper examines the effect of differentiation strategy on process innovativeness in technology services organization (TSOs). In addition it examines the direct and moderating effects of two organizational constructs—operational autonomy and risk-taking propensity. Analysis of data from 102 firms in the mid-Atlantic region of the USA indicates that both differentiation strategy and operational autonomy are positively related with process innovativeness, while an organization's risk-taking propensity has no such relationship. In addition, operational autonomy moderates the relationship between differentiation strategy and process innovativeness, while no evidence was found for the moderating effect of risk-taking propensity on this relationship. Further sub-group analysis shows that in TSOs with high levels of operational autonomy, risk-taking propensity has a positive moderating effect on the above relationship. Post hoc analysis also establishes positive links among process innovativeness and firm performance.","ISSN":"0272-6963","shortTitle":"Process innovativeness in technology services organizations","journalAbbreviation":"Journal of Operations Management","author":[{"family":"Das","given":"Sidhartha R."},{"family":"Joshi","given":"Maheshkumar P."}],"issued":{"date-parts":[["2007",4]]},"accessed":{"date-parts":[["2013",9,25]]}}},{"id":479,"uris":["http://zotero.org/users/local/S7r2cPod/items/23PH7RTQ"],"uri":["http://zotero.org/users/local/S7r2cPod/items/23PH7RTQ"],"itemData":{"id":479,"type":"article-journal","title":"An anatomy of autonomy: Managing professionals","container-title":"Academy of Management Executive (1987-1989)","page":"216-228","volume":"3","issue":"3","source":"JSTOR","abstract":"The most vexing problem in the management of salaried professionals is how to provide them with their espoused right of autonomy while ensuring adequate control of the organization. In this article, Raelin explains how a standard approach of granting professionals operational autonomy (autonomy over the means or procedures to be used) while according management administrative and strategic autonomy (autonomy over the activities of the organizational unit or over the mission of the entire enterprise) is a convenient norm for executives to adopt in most situations. However, he goes on to illustrate how to manage the critical exceptions: those conditions under which professionals ought to be granted administrative and strategic autonomy and those conditions under which management may legitimately revoke the operational autonomy of the professional.","ISSN":"0896-3789","note":"ArticleType: research-article / Full publication date: Aug., 1989 / Copyright © 1989 Academy of Management","shortTitle":"An Anatomy of Autonomy","journalAbbreviation":"The Academy of Management Executive (1987-1989)","author":[{"family":"Raelin","given":"Joseph A."}],"issued":{"date-parts":[["1989",8,1]]},"accessed":{"date-parts":[["2013",9,25]]}}}],"schema":"https://github.com/citation-style-language/schema/raw/master/csl-citation.json"} </w:instrText>
      </w:r>
      <w:r w:rsidRPr="00CC756C">
        <w:rPr>
          <w:rFonts w:cs="Times New Roman"/>
          <w:bCs/>
          <w:sz w:val="22"/>
        </w:rPr>
        <w:fldChar w:fldCharType="separate"/>
      </w:r>
      <w:r w:rsidR="009577D5">
        <w:rPr>
          <w:rFonts w:cs="Times New Roman"/>
          <w:sz w:val="22"/>
        </w:rPr>
        <w:t>(</w:t>
      </w:r>
      <w:r w:rsidRPr="00CC756C">
        <w:rPr>
          <w:rFonts w:cs="Times New Roman"/>
          <w:sz w:val="22"/>
        </w:rPr>
        <w:t>Das &amp; Joshi, 2007)</w:t>
      </w:r>
      <w:r w:rsidRPr="00CC756C">
        <w:rPr>
          <w:rFonts w:cs="Times New Roman"/>
          <w:bCs/>
          <w:sz w:val="22"/>
        </w:rPr>
        <w:fldChar w:fldCharType="end"/>
      </w:r>
      <w:r w:rsidRPr="00CC756C">
        <w:rPr>
          <w:rFonts w:cs="Times New Roman"/>
          <w:bCs/>
          <w:sz w:val="22"/>
        </w:rPr>
        <w:t xml:space="preserve">. </w:t>
      </w:r>
      <w:r w:rsidRPr="00CC756C">
        <w:rPr>
          <w:rFonts w:cs="Times New Roman"/>
          <w:sz w:val="22"/>
        </w:rPr>
        <w:t xml:space="preserve">The partner has the autonomy to exploit their existing knowledge. They will seek to maximize their profits by </w:t>
      </w:r>
      <w:r w:rsidRPr="00CC756C">
        <w:rPr>
          <w:rFonts w:cs="Times New Roman"/>
          <w:bCs/>
          <w:sz w:val="22"/>
        </w:rPr>
        <w:t>leveraging existing strengths and identifying new opportunities within existing knowledge domains</w:t>
      </w:r>
      <w:r w:rsidRPr="00CC756C">
        <w:rPr>
          <w:rFonts w:cs="Times New Roman"/>
          <w:sz w:val="22"/>
        </w:rPr>
        <w:t xml:space="preserve">. We therefore argue that low term specificity in PBCs increases the partner’s autonomy, which in turn fosters incremental innovation. </w:t>
      </w:r>
    </w:p>
    <w:p w:rsidR="00CC756C" w:rsidRPr="00CC756C" w:rsidRDefault="00CC756C" w:rsidP="00CC756C">
      <w:pPr>
        <w:ind w:firstLine="720"/>
        <w:rPr>
          <w:rFonts w:cs="Times New Roman"/>
          <w:bCs/>
          <w:sz w:val="22"/>
        </w:rPr>
      </w:pPr>
      <w:r w:rsidRPr="00CC756C">
        <w:rPr>
          <w:rFonts w:cs="Times New Roman"/>
          <w:sz w:val="22"/>
        </w:rPr>
        <w:t xml:space="preserve">However, although low term specificity is considered beneficial for incremental innovation, </w:t>
      </w:r>
      <w:r w:rsidRPr="00CC756C">
        <w:rPr>
          <w:rFonts w:cs="Times New Roman"/>
          <w:bCs/>
          <w:sz w:val="22"/>
        </w:rPr>
        <w:t xml:space="preserve">TCE and AT also suggest that excessive low term specificity creates the potential for the partner to act opportunistically </w:t>
      </w:r>
      <w:r w:rsidRPr="00CC756C">
        <w:rPr>
          <w:rFonts w:cs="Times New Roman"/>
          <w:bCs/>
          <w:sz w:val="22"/>
        </w:rPr>
        <w:fldChar w:fldCharType="begin"/>
      </w:r>
      <w:r w:rsidRPr="00CC756C">
        <w:rPr>
          <w:rFonts w:cs="Times New Roman"/>
          <w:bCs/>
          <w:sz w:val="22"/>
        </w:rPr>
        <w:instrText xml:space="preserve"> ADDIN ZOTERO_ITEM CSL_CITATION {"citationID":"yvPx5gry","properties":{"formattedCitation":"(Eisenhardt, 1989)","plainCitation":"(Eisenhardt, 1989)"},"citationItems":[{"id":151,"uris":["http://zotero.org/users/local/S7r2cPod/items/XNPFTIVD"],"uri":["http://zotero.org/users/local/S7r2cPod/items/XNPFTIVD"],"itemData":{"id":151,"type":"article-journal","title":"Agency theory: An assessment and review","container-title":"Academy of Management Review","page":"57-74","volume":"14","issue":"1","source":"JSTOR","abstract":"Agency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structure.","ISSN":"0363-7425","note":"ArticleType: research-article / Full publication date: Jan., 1989 / Copyright © 1989 Academy of Management","shortTitle":"Agency Theory","journalAbbreviation":"The Academy of Management Review","author":[{"family":"Eisenhardt","given":"Kathleen M."}],"issued":{"date-parts":[["1989",1,1]]},"accessed":{"date-parts":[["2013",5,15]]}}}],"schema":"https://github.com/citation-style-language/schema/raw/master/csl-citation.json"} </w:instrText>
      </w:r>
      <w:r w:rsidRPr="00CC756C">
        <w:rPr>
          <w:rFonts w:cs="Times New Roman"/>
          <w:bCs/>
          <w:sz w:val="22"/>
        </w:rPr>
        <w:fldChar w:fldCharType="separate"/>
      </w:r>
      <w:r w:rsidRPr="00CC756C">
        <w:rPr>
          <w:rFonts w:cs="Times New Roman"/>
          <w:sz w:val="22"/>
        </w:rPr>
        <w:t>(Eisenhardt, 1989)</w:t>
      </w:r>
      <w:r w:rsidRPr="00CC756C">
        <w:rPr>
          <w:rFonts w:cs="Times New Roman"/>
          <w:bCs/>
          <w:sz w:val="22"/>
        </w:rPr>
        <w:fldChar w:fldCharType="end"/>
      </w:r>
      <w:r w:rsidRPr="00CC756C">
        <w:rPr>
          <w:rFonts w:cs="Times New Roman"/>
          <w:bCs/>
          <w:sz w:val="22"/>
        </w:rPr>
        <w:t xml:space="preserve">. Very high degrees of autonomy (i.e., very low degrees of term specificity) stimulate less committed partners to let their own interests prevail over joint interests </w:t>
      </w:r>
      <w:r w:rsidRPr="00CC756C">
        <w:rPr>
          <w:rFonts w:cs="Times New Roman"/>
          <w:bCs/>
          <w:sz w:val="22"/>
        </w:rPr>
        <w:lastRenderedPageBreak/>
        <w:fldChar w:fldCharType="begin"/>
      </w:r>
      <w:r w:rsidRPr="00CC756C">
        <w:rPr>
          <w:rFonts w:cs="Times New Roman"/>
          <w:bCs/>
          <w:sz w:val="22"/>
        </w:rPr>
        <w:instrText xml:space="preserve"> ADDIN ZOTERO_ITEM CSL_CITATION {"citationID":"2c6jr4loqc","properties":{"formattedCitation":"(Shimizu, 2012)","plainCitation":"(Shimizu, 2012)"},"citationItems":[{"id":413,"uris":["http://zotero.org/users/local/S7r2cPod/items/GZMAJIAN"],"uri":["http://zotero.org/users/local/S7r2cPod/items/GZMAJIAN"],"itemData":{"id":413,"type":"article-journal","title":"Risks of corporate entrepreneurship: Autonomy and agency issues","container-title":"Organization Science","page":"194-206","volume":"23","issue":"1","source":"orgsci.journal.informs.org","abstract":"Although research on corporate entrepreneurship (CE) has attracted increasing attention, risks of CE are not well examined. In this paper, we examine direct and indirect agency risks associated with providing middle and operational managers with autonomy in the hopes of encouraging CE. The key ideas behind our discussion involve two dilemmas of CE. (1) To solve the risk-averseness problem of middle and operational managers and unleash their entrepreneurial ideas, top management needs to encourage autonomous behaviors, which can also exacerbate a different type of agency problem: opportunistic behaviors. (2) Although the generation of new ideas to explore new strategic directions and/or opportunities is important, the very newness of the ideas make them difficult to evaluate, and thus the selection process may be perceived as unfair by some managers. We propose that (a) stock options, (b) passive monitoring, and (c) perceived procedural justice would attenuate the negative side effects associated with CE, such as opportunistic behaviors and perceived unfairness. Although research in CE often stresses autonomy of middle and operational managers for new idea generation as important, examining the whole process in terms of idea generation, selection, and implementation with respect to potential risks will extend the CE literature.","ISSN":"1047-7039, 1526-5455","shortTitle":"Risks of Corporate Entrepreneurship","journalAbbreviation":"Organization Science","language":"en","author":[{"family":"Shimizu","given":"Katsuhiko (Katsu)"}],"issued":{"date-parts":[["2012",1,1]]},"accessed":{"date-parts":[["2013",7,8]]}}}],"schema":"https://github.com/citation-style-language/schema/raw/master/csl-citation.json"} </w:instrText>
      </w:r>
      <w:r w:rsidRPr="00CC756C">
        <w:rPr>
          <w:rFonts w:cs="Times New Roman"/>
          <w:bCs/>
          <w:sz w:val="22"/>
        </w:rPr>
        <w:fldChar w:fldCharType="separate"/>
      </w:r>
      <w:r w:rsidRPr="00CC756C">
        <w:rPr>
          <w:rFonts w:cs="Times New Roman"/>
          <w:sz w:val="22"/>
        </w:rPr>
        <w:t>(Shimizu, 2012)</w:t>
      </w:r>
      <w:r w:rsidRPr="00CC756C">
        <w:rPr>
          <w:rFonts w:cs="Times New Roman"/>
          <w:bCs/>
          <w:sz w:val="22"/>
        </w:rPr>
        <w:fldChar w:fldCharType="end"/>
      </w:r>
      <w:r w:rsidRPr="00CC756C">
        <w:rPr>
          <w:rFonts w:cs="Times New Roman"/>
          <w:bCs/>
          <w:sz w:val="22"/>
        </w:rPr>
        <w:t xml:space="preserve">. Individual interests may include engaging in competitive activities or sharing enhanced knowledge to a competitor </w:t>
      </w:r>
      <w:r w:rsidRPr="00CC756C">
        <w:rPr>
          <w:rFonts w:cs="Times New Roman"/>
          <w:bCs/>
          <w:sz w:val="22"/>
        </w:rPr>
        <w:fldChar w:fldCharType="begin"/>
      </w:r>
      <w:r w:rsidRPr="00CC756C">
        <w:rPr>
          <w:rFonts w:cs="Times New Roman"/>
          <w:bCs/>
          <w:sz w:val="22"/>
        </w:rPr>
        <w:instrText xml:space="preserve"> ADDIN ZOTERO_ITEM CSL_CITATION {"citationID":"16bj9auaft","properties":{"formattedCitation":"(Kloyer &amp; Scholderer, 2012)","plainCitation":"(Kloyer &amp; Scholderer, 2012)"},"citationItems":[{"id":208,"uris":["http://zotero.org/users/local/S7r2cPod/items/9HTPT2N2"],"uri":["http://zotero.org/users/local/S7r2cPod/items/9HTPT2N2"],"itemData":{"id":208,"type":"article-journal","title":"Effective incomplete contracts and milestones in market-distant R&amp;D collaboration","container-title":"Research Policy","page":"346-357","volume":"41","issue":"2","source":"ScienceDirect","abstract":"R&amp;amp;D outsourcing is often conducted during the early, market-distant stages of the innovation process. However, the main obstacle to this potentially efficient interfirm specialization is the high danger of moral hazard. Most organizational mechanisms fail to control that type of opportunism because of information asymmetries, even ex post. In the theory of incomplete contracts, this problem is mitigated by assigning the control rights to the supplier. To date, empirical studies have mainly investigated the interfirm distribution of the control rights. However, we do not know yet which concrete control right is crucial with regard to supplier opportunism, which is the decisive dependent variable. Our study addresses this research gap. For the first time, we extend the empirical focus from biotechnology and pharmaceutical firm alliances to a cross-industry sample of 113 collaboration cases. The results show the effectiveness of contracts that ex ante assign patent ownership rights to the supplier. The findings are also relevant for management practice because the majority of practitioners do not use this contract type yet, although there is no sign of an effective alternative.","ISSN":"0048-7333","journalAbbreviation":"Research Policy","author":[{"family":"Kloyer","given":"Martin"},{"family":"Scholderer","given":"Joachim"}],"issued":{"date-parts":[["2012",3]]},"accessed":{"date-parts":[["2013",5,15]]}}}],"schema":"https://github.com/citation-style-language/schema/raw/master/csl-citation.json"} </w:instrText>
      </w:r>
      <w:r w:rsidRPr="00CC756C">
        <w:rPr>
          <w:rFonts w:cs="Times New Roman"/>
          <w:bCs/>
          <w:sz w:val="22"/>
        </w:rPr>
        <w:fldChar w:fldCharType="separate"/>
      </w:r>
      <w:r w:rsidRPr="00CC756C">
        <w:rPr>
          <w:rFonts w:cs="Times New Roman"/>
          <w:sz w:val="22"/>
        </w:rPr>
        <w:t>(Kloyer &amp; Scholderer, 2012)</w:t>
      </w:r>
      <w:r w:rsidRPr="00CC756C">
        <w:rPr>
          <w:rFonts w:cs="Times New Roman"/>
          <w:bCs/>
          <w:sz w:val="22"/>
        </w:rPr>
        <w:fldChar w:fldCharType="end"/>
      </w:r>
      <w:r w:rsidRPr="00CC756C">
        <w:rPr>
          <w:rFonts w:cs="Times New Roman"/>
          <w:bCs/>
          <w:sz w:val="22"/>
        </w:rPr>
        <w:t xml:space="preserve">. Thus, the overall quality and value of the incremental innovative activities is lower when the partner’s autonomy is too high </w:t>
      </w:r>
      <w:r w:rsidRPr="00CC756C">
        <w:rPr>
          <w:rFonts w:cs="Times New Roman"/>
          <w:bCs/>
          <w:sz w:val="22"/>
        </w:rPr>
        <w:fldChar w:fldCharType="begin"/>
      </w:r>
      <w:r w:rsidRPr="00CC756C">
        <w:rPr>
          <w:rFonts w:cs="Times New Roman"/>
          <w:bCs/>
          <w:sz w:val="22"/>
        </w:rPr>
        <w:instrText xml:space="preserve"> ADDIN ZOTERO_ITEM CSL_CITATION {"citationID":"oen95qerm","properties":{"formattedCitation":"(Shimizu, 2012)","plainCitation":"(Shimizu, 2012)"},"citationItems":[{"id":413,"uris":["http://zotero.org/users/local/S7r2cPod/items/GZMAJIAN"],"uri":["http://zotero.org/users/local/S7r2cPod/items/GZMAJIAN"],"itemData":{"id":413,"type":"article-journal","title":"Risks of corporate entrepreneurship: Autonomy and agency issues","container-title":"Organization Science","page":"194-206","volume":"23","issue":"1","source":"orgsci.journal.informs.org","abstract":"Although research on corporate entrepreneurship (CE) has attracted increasing attention, risks of CE are not well examined. In this paper, we examine direct and indirect agency risks associated with providing middle and operational managers with autonomy in the hopes of encouraging CE. The key ideas behind our discussion involve two dilemmas of CE. (1) To solve the risk-averseness problem of middle and operational managers and unleash their entrepreneurial ideas, top management needs to encourage autonomous behaviors, which can also exacerbate a different type of agency problem: opportunistic behaviors. (2) Although the generation of new ideas to explore new strategic directions and/or opportunities is important, the very newness of the ideas make them difficult to evaluate, and thus the selection process may be perceived as unfair by some managers. We propose that (a) stock options, (b) passive monitoring, and (c) perceived procedural justice would attenuate the negative side effects associated with CE, such as opportunistic behaviors and perceived unfairness. Although research in CE often stresses autonomy of middle and operational managers for new idea generation as important, examining the whole process in terms of idea generation, selection, and implementation with respect to potential risks will extend the CE literature.","ISSN":"1047-7039, 1526-5455","shortTitle":"Risks of Corporate Entrepreneurship","journalAbbreviation":"Organization Science","language":"en","author":[{"family":"Shimizu","given":"Katsuhiko (Katsu)"}],"issued":{"date-parts":[["2012",1,1]]},"accessed":{"date-parts":[["2013",7,8]]}}}],"schema":"https://github.com/citation-style-language/schema/raw/master/csl-citation.json"} </w:instrText>
      </w:r>
      <w:r w:rsidRPr="00CC756C">
        <w:rPr>
          <w:rFonts w:cs="Times New Roman"/>
          <w:bCs/>
          <w:sz w:val="22"/>
        </w:rPr>
        <w:fldChar w:fldCharType="separate"/>
      </w:r>
      <w:r w:rsidRPr="00CC756C">
        <w:rPr>
          <w:rFonts w:cs="Times New Roman"/>
          <w:sz w:val="22"/>
        </w:rPr>
        <w:t>(Shimizu, 2012)</w:t>
      </w:r>
      <w:r w:rsidRPr="00CC756C">
        <w:rPr>
          <w:rFonts w:cs="Times New Roman"/>
          <w:bCs/>
          <w:sz w:val="22"/>
        </w:rPr>
        <w:fldChar w:fldCharType="end"/>
      </w:r>
      <w:r w:rsidRPr="00CC756C">
        <w:rPr>
          <w:rFonts w:cs="Times New Roman"/>
          <w:bCs/>
          <w:sz w:val="22"/>
        </w:rPr>
        <w:t>. Thus, as a too high level of term specificity inhibits innovation, organizations need to carefully balance high innovation versus limited partner opportunism. Accordingly, we expect an inverted- U-shaped relationship between term specificity and incremental innovation.</w:t>
      </w:r>
    </w:p>
    <w:p w:rsidR="00CC756C" w:rsidRPr="00CC756C" w:rsidRDefault="00CC756C" w:rsidP="00CC756C">
      <w:pPr>
        <w:ind w:firstLine="720"/>
        <w:rPr>
          <w:rFonts w:cs="Times New Roman"/>
          <w:sz w:val="22"/>
        </w:rPr>
      </w:pPr>
      <w:r w:rsidRPr="00CC756C">
        <w:rPr>
          <w:rFonts w:cs="Times New Roman"/>
          <w:bCs/>
          <w:sz w:val="22"/>
        </w:rPr>
        <w:t>To pursue radic</w:t>
      </w:r>
      <w:r w:rsidR="0038112F">
        <w:rPr>
          <w:rFonts w:cs="Times New Roman"/>
          <w:bCs/>
          <w:sz w:val="22"/>
        </w:rPr>
        <w:t>al innovation, however</w:t>
      </w:r>
      <w:r w:rsidRPr="00CC756C">
        <w:rPr>
          <w:rFonts w:cs="Times New Roman"/>
          <w:bCs/>
          <w:sz w:val="22"/>
        </w:rPr>
        <w:t>, the parties in the IOR should leave the contract preferably completely open. Very l</w:t>
      </w:r>
      <w:r w:rsidRPr="00CC756C">
        <w:rPr>
          <w:rFonts w:cs="Times New Roman"/>
          <w:sz w:val="22"/>
        </w:rPr>
        <w:t xml:space="preserve">ow term specificity enables the partner to exchange and generate new knowledge (Wang et al., 2011). </w:t>
      </w:r>
      <w:r w:rsidR="0038112F">
        <w:rPr>
          <w:rFonts w:cs="Times New Roman"/>
          <w:sz w:val="22"/>
        </w:rPr>
        <w:t>W</w:t>
      </w:r>
      <w:r w:rsidRPr="00CC756C">
        <w:rPr>
          <w:rFonts w:cs="Times New Roman"/>
          <w:sz w:val="22"/>
        </w:rPr>
        <w:t>e state that very low term specificity grants the partner the autonomy to engage in and support new ideas, demonstrate creativity experimentation, and take actions free of contractual constraints</w:t>
      </w:r>
      <w:r w:rsidR="0038112F">
        <w:rPr>
          <w:rFonts w:cs="Times New Roman"/>
          <w:sz w:val="22"/>
        </w:rPr>
        <w:t xml:space="preserve"> </w:t>
      </w:r>
      <w:r w:rsidR="0038112F" w:rsidRPr="00CC756C">
        <w:rPr>
          <w:rFonts w:cs="Times New Roman"/>
          <w:sz w:val="22"/>
        </w:rPr>
        <w:fldChar w:fldCharType="begin"/>
      </w:r>
      <w:r w:rsidR="0038112F" w:rsidRPr="00CC756C">
        <w:rPr>
          <w:rFonts w:cs="Times New Roman"/>
          <w:sz w:val="22"/>
        </w:rPr>
        <w:instrText xml:space="preserve"> ADDIN ZOTERO_ITEM CSL_CITATION {"citationID":"UwnDUmuN","properties":{"formattedCitation":"(Choo &amp; Bontis, 2002; Lumpkin &amp; Dess, 1996; Nonaka, Toyama, &amp; Konno, 2000)","plainCitation":"(Choo &amp; Bontis, 2002; Lumpkin &amp; Dess, 1996; Nonaka, Toyama, &amp; Konno, 2000)"},"citationItems":[{"id":593,"uris":["http://zotero.org/users/local/S7r2cPod/items/JCSMIP92"],"uri":["http://zotero.org/users/local/S7r2cPod/items/JCSMIP92"],"itemData":{"id":593,"type":"book","title":"The strategic management of intellectual capital and organizational knowledge","publisher":"Oxford University Press","number-of-pages":"772","source":"Google Books","abstract":"Increasingly, the challenge of management is to create and supply knowledge in order to sustain organizational performance. However, few books on management strategy have been written using this concept as a foundation. This unique volume adopts a knowledge-based approach that will complement and perhaps supplant other perspectives. Editors Nick Bontis and Chun Wei Choo look at the literature through the lens of strategic management and from the vantage point of organizational science. The thirty readings have been carefully selected and commissioned to provide the best literature available--from articles newly written for this book and from existing publications.","ISBN":"9780195154863","language":"en","author":[{"family":"Choo","given":"Chun Wei"},{"family":"Bontis","given":"Nick"}],"issued":{"date-parts":[["2002"]]}}},{"id":481,"uris":["http://zotero.org/users/local/S7r2cPod/items/SFS5AVMX"],"uri":["http://zotero.org/users/local/S7r2cPod/items/SFS5AVMX"],"itemData":{"id":481,"type":"article-journal","title":"Clarifying the entrepreneurial orientation construct and linking it to performance","container-title":"Academy of Management Review","page":"135-172","volume":"21","issue":"1","source":"JSTOR","abstract":"The primary purpose of this article is to clarify the nature of the entrepreneurial orientation (EO) construct and to propose a contingency framework for investigating the relationship between EO and firm performance. We first explore and refine the dimensions of EO and discuss the usefulness of viewing a firm's EO as a multidimensional construct. Then, drawing on examples from the EO-related contingencies literature, we suggest alternative models (moderating effects, mediating effects, independent effects, interaction effects) for testing the EO-performance relationship.","ISSN":"0363-7425","note":"ArticleType: research-article / Full publication date: Jan., 1996 / Copyright © 1996 Academy of Management","journalAbbreviation":"The Academy of Management Review","author":[{"family":"Lumpkin","given":"G. T."},{"family":"Dess","given":"Gregory G."}],"issued":{"date-parts":[["1996",1,1]]},"accessed":{"date-parts":[["2013",9,25]]}}},{"id":584,"uris":["http://zotero.org/users/local/S7r2cPod/items/RSQAPZ7D"],"uri":["http://zotero.org/users/local/S7r2cPod/items/RSQAPZ7D"],"itemData":{"id":584,"type":"article-journal","title":"SECI, Ba and leadership: A unified model of dynamic knowledge creation","container-title":"Long Range Planning","page":"5-34","volume":"33","issue":"1","source":"ScienceDirect","abstract":"Despite the widely recognised importance of knowledge as a vital source of competitive advantage, there is little understanding of how organisations actually create and manage knowledge dynamically. Nonaka, Toyama and Konno start from the view of an organisation as an entity that creates knowledge continuously, and their goal in this article is to understand the dynamic process in which an organisation creates, maintains and exploits knowledge. They propose a model of knowledge creation consisting of three elements: (i) the SECI process, knowledge creation through the conversion of tacit and explicit knowledge; (ii) ‘ba’, the shared context for knowledge creation; and (iii) knowledge assets, the inputs, outputs and moderators of the knowledge-creating process. The knowledge creation process is a spiral that grows out of these three elements; the key to leading it is dialectical thinking. The role of top management in articulating the organisation's knowledge vision is emphasised, as is the important role of middle management (‘knowledge producers’) in energising ba. In summary, using existing knowledge assets, an organisation creates new knowledge through the SECI process that takes place in ba, where new knowledge, once created, becomes in turn the basis for a new spiral of knowledge creation.","ISSN":"0024-6301","shortTitle":"SECI, Ba and Leadership","journalAbbreviation":"Long Range Planning","author":[{"family":"Nonaka","given":"Ikujiro"},{"family":"Toyama","given":"Ryoko"},{"family":"Konno","given":"Noboru"}],"issued":{"date-parts":[["2000",2,1]]},"accessed":{"date-parts":[["2014",1,30]],"season":"13:34:38"}}}],"schema":"https://github.com/citation-style-language/schema/raw/master/csl-citation.json"} </w:instrText>
      </w:r>
      <w:r w:rsidR="0038112F" w:rsidRPr="00CC756C">
        <w:rPr>
          <w:rFonts w:cs="Times New Roman"/>
          <w:sz w:val="22"/>
        </w:rPr>
        <w:fldChar w:fldCharType="separate"/>
      </w:r>
      <w:r w:rsidR="0038112F">
        <w:rPr>
          <w:rFonts w:cs="Times New Roman"/>
          <w:sz w:val="22"/>
        </w:rPr>
        <w:t>(</w:t>
      </w:r>
      <w:r w:rsidR="0038112F" w:rsidRPr="00CC756C">
        <w:rPr>
          <w:rFonts w:cs="Times New Roman"/>
          <w:sz w:val="22"/>
        </w:rPr>
        <w:t>Lumpkin &amp; Dess, 1996; Nonaka, Toyama, &amp; Konno, 2000)</w:t>
      </w:r>
      <w:r w:rsidR="0038112F" w:rsidRPr="00CC756C">
        <w:rPr>
          <w:rFonts w:cs="Times New Roman"/>
          <w:sz w:val="22"/>
        </w:rPr>
        <w:fldChar w:fldCharType="end"/>
      </w:r>
      <w:r w:rsidRPr="00CC756C">
        <w:rPr>
          <w:rFonts w:cs="Times New Roman"/>
          <w:sz w:val="22"/>
        </w:rPr>
        <w:t xml:space="preserve">. Underlying this is the notion that the partner will develop new ideas if they feel free to do so. Hence, the parties in the IOR should have sufficient autonomy to exchange new knowledge that may lead to the creation of radical innovation </w:t>
      </w:r>
      <w:r w:rsidRPr="00CC756C">
        <w:rPr>
          <w:rFonts w:cs="Times New Roman"/>
          <w:sz w:val="22"/>
        </w:rPr>
        <w:fldChar w:fldCharType="begin"/>
      </w:r>
      <w:r w:rsidRPr="00CC756C">
        <w:rPr>
          <w:rFonts w:cs="Times New Roman"/>
          <w:sz w:val="22"/>
        </w:rPr>
        <w:instrText xml:space="preserve"> ADDIN ZOTERO_ITEM CSL_CITATION {"citationID":"1cmhm6m9da","properties":{"formattedCitation":"(Popadiuk &amp; Choo, 2006)","plainCitation":"(Popadiuk &amp; Choo, 2006)"},"citationItems":[{"id":460,"uris":["http://zotero.org/users/local/S7r2cPod/items/UTIMV8ZQ"],"uri":["http://zotero.org/users/local/S7r2cPod/items/UTIMV8ZQ"],"itemData":{"id":460,"type":"article-journal","title":"Innovation and knowledge creation: How are these concepts related?","container-title":"International Journal of Information Management","page":"302-312","volume":"26","issue":"4","source":"ScienceDirect","abstract":"Innovation and knowledge creation—these two concepts have a strong relationship but this relationship has not been examined systematically. This paper reviews the important theoretical work in both streams of research, highlighting the fundamental similarities and differences. Four major models of innovation are compared, and the distinction between radical and incremental innovation is examined. The nature of organizational knowledge and the process of knowledge creation are presented. We then compare the principal findings of the research on innovation and knowledge creation, and conclude with a new framework that differentiates types of innovation based on a knowledge creation perspective.","ISSN":"0268-4012","shortTitle":"Innovation and knowledge creation","journalAbbreviation":"International Journal of Information Management","author":[{"family":"Popadiuk","given":"Silvio"},{"family":"Choo","given":"Chun Wei"}],"issued":{"date-parts":[["2006",8]]},"accessed":{"date-parts":[["2013",9,10]]}}}],"schema":"https://github.com/citation-style-language/schema/raw/master/csl-citation.json"} </w:instrText>
      </w:r>
      <w:r w:rsidRPr="00CC756C">
        <w:rPr>
          <w:rFonts w:cs="Times New Roman"/>
          <w:sz w:val="22"/>
        </w:rPr>
        <w:fldChar w:fldCharType="separate"/>
      </w:r>
      <w:r w:rsidRPr="00CC756C">
        <w:rPr>
          <w:rFonts w:cs="Times New Roman"/>
          <w:sz w:val="22"/>
        </w:rPr>
        <w:t>(Popadiuk &amp; Choo, 2006)</w:t>
      </w:r>
      <w:r w:rsidRPr="00CC756C">
        <w:rPr>
          <w:rFonts w:cs="Times New Roman"/>
          <w:sz w:val="22"/>
        </w:rPr>
        <w:fldChar w:fldCharType="end"/>
      </w:r>
      <w:r w:rsidRPr="00CC756C">
        <w:rPr>
          <w:rFonts w:cs="Times New Roman"/>
          <w:sz w:val="22"/>
        </w:rPr>
        <w:t xml:space="preserve">. Reversely, detailed contractual rules and obligations constrain radical innovation </w:t>
      </w:r>
      <w:r w:rsidRPr="00CC756C">
        <w:rPr>
          <w:rFonts w:cs="Times New Roman"/>
          <w:sz w:val="22"/>
        </w:rPr>
        <w:fldChar w:fldCharType="begin"/>
      </w:r>
      <w:r w:rsidRPr="00CC756C">
        <w:rPr>
          <w:rFonts w:cs="Times New Roman"/>
          <w:sz w:val="22"/>
        </w:rPr>
        <w:instrText xml:space="preserve"> ADDIN ZOTERO_ITEM CSL_CITATION {"citationID":"jpk7rfcbk","properties":{"formattedCitation":"(Jansen et al., 2006)","plainCitation":"(Jansen et al., 2006)"},"citationItems":[{"id":555,"uris":["http://zotero.org/users/local/S7r2cPod/items/HU5WUW5I"],"uri":["http://zotero.org/users/local/S7r2cPod/items/HU5WUW5I"],"itemData":{"id":555,"type":"article-journal","title":"Exploratory innovation, exploitative innovation, and performance: Effects of organizational antecedents and environmental moderators","container-title":"Management Science","page":"1661-1674","volume":"52","issue":"11","source":"CrossRef","ISSN":"0025-1909, 1526-5501","shortTitle":"Exploratory Innovation, Exploitative Innovation, and Performance","author":[{"family":"Jansen","given":"Justin J. P."},{"family":"Van Den Bosch","given":"Frans A. J."},{"family":"Volberda","given":"Henk W."}],"issued":{"date-parts":[["2006",11]]},"accessed":{"date-parts":[["2013",11,7]]}}}],"schema":"https://github.com/citation-style-language/schema/raw/master/csl-citation.json"} </w:instrText>
      </w:r>
      <w:r w:rsidRPr="00CC756C">
        <w:rPr>
          <w:rFonts w:cs="Times New Roman"/>
          <w:sz w:val="22"/>
        </w:rPr>
        <w:fldChar w:fldCharType="separate"/>
      </w:r>
      <w:r w:rsidRPr="00CC756C">
        <w:rPr>
          <w:rFonts w:cs="Times New Roman"/>
          <w:sz w:val="22"/>
        </w:rPr>
        <w:t>(Jansen et al., 2006)</w:t>
      </w:r>
      <w:r w:rsidRPr="00CC756C">
        <w:rPr>
          <w:rFonts w:cs="Times New Roman"/>
          <w:sz w:val="22"/>
        </w:rPr>
        <w:fldChar w:fldCharType="end"/>
      </w:r>
      <w:r w:rsidRPr="00CC756C">
        <w:rPr>
          <w:rFonts w:cs="Times New Roman"/>
          <w:sz w:val="22"/>
        </w:rPr>
        <w:t xml:space="preserve">. Relying on contractual rules and procedures hampers experimentation and ad-hoc problem solving efforts. It reduces the likelihood that the partner deviates from existing knowledge, structured behavior, and it hinders deviation from a partner’s variation-seeking behavior </w:t>
      </w:r>
      <w:r w:rsidRPr="00CC756C">
        <w:rPr>
          <w:rFonts w:cs="Times New Roman"/>
          <w:sz w:val="22"/>
        </w:rPr>
        <w:fldChar w:fldCharType="begin"/>
      </w:r>
      <w:r w:rsidRPr="00CC756C">
        <w:rPr>
          <w:rFonts w:cs="Times New Roman"/>
          <w:sz w:val="22"/>
        </w:rPr>
        <w:instrText xml:space="preserve"> ADDIN ZOTERO_ITEM CSL_CITATION {"citationID":"mhcj1tqnp","properties":{"formattedCitation":"(Jansen et al., 2006)","plainCitation":"(Jansen et al., 2006)"},"citationItems":[{"id":555,"uris":["http://zotero.org/users/local/S7r2cPod/items/HU5WUW5I"],"uri":["http://zotero.org/users/local/S7r2cPod/items/HU5WUW5I"],"itemData":{"id":555,"type":"article-journal","title":"Exploratory innovation, exploitative innovation, and performance: Effects of organizational antecedents and environmental moderators","container-title":"Management Science","page":"1661-1674","volume":"52","issue":"11","source":"CrossRef","ISSN":"0025-1909, 1526-5501","shortTitle":"Exploratory Innovation, Exploitative Innovation, and Performance","author":[{"family":"Jansen","given":"Justin J. P."},{"family":"Van Den Bosch","given":"Frans A. J."},{"family":"Volberda","given":"Henk W."}],"issued":{"date-parts":[["2006",11]]},"accessed":{"date-parts":[["2013",11,7]]}}}],"schema":"https://github.com/citation-style-language/schema/raw/master/csl-citation.json"} </w:instrText>
      </w:r>
      <w:r w:rsidRPr="00CC756C">
        <w:rPr>
          <w:rFonts w:cs="Times New Roman"/>
          <w:sz w:val="22"/>
        </w:rPr>
        <w:fldChar w:fldCharType="separate"/>
      </w:r>
      <w:r w:rsidRPr="00CC756C">
        <w:rPr>
          <w:rFonts w:cs="Times New Roman"/>
          <w:sz w:val="22"/>
        </w:rPr>
        <w:t>(Jansen et al., 2006)</w:t>
      </w:r>
      <w:r w:rsidRPr="00CC756C">
        <w:rPr>
          <w:rFonts w:cs="Times New Roman"/>
          <w:sz w:val="22"/>
        </w:rPr>
        <w:fldChar w:fldCharType="end"/>
      </w:r>
      <w:r w:rsidRPr="00CC756C">
        <w:rPr>
          <w:rFonts w:cs="Times New Roman"/>
          <w:sz w:val="22"/>
        </w:rPr>
        <w:t>. In sum, w</w:t>
      </w:r>
      <w:r w:rsidRPr="00CC756C">
        <w:rPr>
          <w:rFonts w:cs="Times New Roman"/>
          <w:bCs/>
          <w:sz w:val="22"/>
        </w:rPr>
        <w:t>e hypothesize:</w:t>
      </w:r>
    </w:p>
    <w:p w:rsidR="00CC756C" w:rsidRPr="00CC756C" w:rsidRDefault="00CC756C" w:rsidP="00CC756C">
      <w:pPr>
        <w:autoSpaceDE w:val="0"/>
        <w:autoSpaceDN w:val="0"/>
        <w:adjustRightInd w:val="0"/>
        <w:rPr>
          <w:rFonts w:cs="Times New Roman"/>
          <w:b/>
          <w:i/>
          <w:sz w:val="22"/>
        </w:rPr>
      </w:pPr>
    </w:p>
    <w:p w:rsidR="00CC756C" w:rsidRPr="00CC756C" w:rsidRDefault="00CC756C" w:rsidP="00CC756C">
      <w:pPr>
        <w:autoSpaceDE w:val="0"/>
        <w:autoSpaceDN w:val="0"/>
        <w:adjustRightInd w:val="0"/>
        <w:rPr>
          <w:rFonts w:cs="Times New Roman"/>
          <w:i/>
          <w:sz w:val="22"/>
        </w:rPr>
      </w:pPr>
      <w:r w:rsidRPr="00CC756C">
        <w:rPr>
          <w:rFonts w:cs="Times New Roman"/>
          <w:b/>
          <w:i/>
          <w:sz w:val="22"/>
        </w:rPr>
        <w:t xml:space="preserve">Hypothesis 1A: </w:t>
      </w:r>
      <w:r w:rsidRPr="00CC756C">
        <w:rPr>
          <w:rFonts w:cs="Times New Roman"/>
          <w:i/>
          <w:sz w:val="22"/>
        </w:rPr>
        <w:t>There is an inverted-U-shaped relationship between term specificity and incremental innovation.</w:t>
      </w:r>
    </w:p>
    <w:p w:rsidR="00CC756C" w:rsidRPr="00CC756C" w:rsidRDefault="00CC756C" w:rsidP="00CC756C">
      <w:pPr>
        <w:autoSpaceDE w:val="0"/>
        <w:autoSpaceDN w:val="0"/>
        <w:adjustRightInd w:val="0"/>
        <w:rPr>
          <w:rFonts w:cs="Times New Roman"/>
          <w:i/>
          <w:sz w:val="22"/>
        </w:rPr>
      </w:pPr>
      <w:r w:rsidRPr="00CC756C">
        <w:rPr>
          <w:rFonts w:cs="Times New Roman"/>
          <w:b/>
          <w:i/>
          <w:sz w:val="22"/>
        </w:rPr>
        <w:t xml:space="preserve">Hypothesis 1B: </w:t>
      </w:r>
      <w:r w:rsidRPr="00CC756C">
        <w:rPr>
          <w:rFonts w:cs="Times New Roman"/>
          <w:i/>
          <w:sz w:val="22"/>
        </w:rPr>
        <w:t>There is a negative relationship between term specificity and radical innovation.</w:t>
      </w:r>
    </w:p>
    <w:p w:rsidR="00CC756C" w:rsidRPr="00CC756C" w:rsidRDefault="00CC756C" w:rsidP="00CC756C">
      <w:pPr>
        <w:autoSpaceDE w:val="0"/>
        <w:autoSpaceDN w:val="0"/>
        <w:adjustRightInd w:val="0"/>
        <w:rPr>
          <w:rFonts w:cs="Times New Roman"/>
          <w:b/>
          <w:sz w:val="22"/>
        </w:rPr>
      </w:pPr>
    </w:p>
    <w:p w:rsidR="00CC756C" w:rsidRPr="00CC756C" w:rsidRDefault="00CC756C" w:rsidP="00CC756C">
      <w:pPr>
        <w:pStyle w:val="ListParagraph"/>
        <w:numPr>
          <w:ilvl w:val="1"/>
          <w:numId w:val="1"/>
        </w:numPr>
        <w:autoSpaceDE w:val="0"/>
        <w:autoSpaceDN w:val="0"/>
        <w:adjustRightInd w:val="0"/>
        <w:ind w:left="0" w:firstLine="0"/>
        <w:rPr>
          <w:rFonts w:cs="Times New Roman"/>
          <w:i/>
          <w:sz w:val="22"/>
        </w:rPr>
      </w:pPr>
      <w:r w:rsidRPr="00CC756C">
        <w:rPr>
          <w:rFonts w:cs="Times New Roman"/>
          <w:i/>
          <w:sz w:val="22"/>
        </w:rPr>
        <w:t xml:space="preserve">Pay-for-Performance and Incremental and Radical Innovation </w:t>
      </w:r>
    </w:p>
    <w:p w:rsidR="00CC756C" w:rsidRPr="00CC756C" w:rsidRDefault="00CC756C" w:rsidP="00CC756C">
      <w:pPr>
        <w:autoSpaceDE w:val="0"/>
        <w:autoSpaceDN w:val="0"/>
        <w:adjustRightInd w:val="0"/>
        <w:rPr>
          <w:rFonts w:cs="Times New Roman"/>
          <w:sz w:val="22"/>
        </w:rPr>
      </w:pPr>
      <w:r w:rsidRPr="00CC756C">
        <w:rPr>
          <w:rFonts w:cs="Times New Roman"/>
          <w:sz w:val="22"/>
        </w:rPr>
        <w:t xml:space="preserve">The second characteristic of PBCs is linking the partner’s rewards to the performance they deliver. According to AT, linking rewards to performance is an example of an incentive scheme that can align the interests of the two parties in the IOR and reduce the potential for opportunistic behavior created by incomplete contracts </w:t>
      </w:r>
      <w:r w:rsidRPr="00CC756C">
        <w:rPr>
          <w:rFonts w:cs="Times New Roman"/>
          <w:sz w:val="22"/>
        </w:rPr>
        <w:fldChar w:fldCharType="begin"/>
      </w:r>
      <w:r w:rsidRPr="00CC756C">
        <w:rPr>
          <w:rFonts w:cs="Times New Roman"/>
          <w:sz w:val="22"/>
        </w:rPr>
        <w:instrText xml:space="preserve"> ADDIN ZOTERO_ITEM CSL_CITATION {"citationID":"POzrb5RJ","properties":{"formattedCitation":"(Devers et al., 2007; Eisenhardt, 1989; Makri, Lane, &amp; Gomez-Mejia, 2006; Shimizu, 2012)","plainCitation":"(Devers et al., 2007; Eisenhardt, 1989; Makri, Lane, &amp; Gomez-Mejia, 2006; Shimizu, 2012)"},"citationItems":[{"id":138,"uris":["http://zotero.org/users/local/S7r2cPod/items/93JGW5IG"],"uri":["http://zotero.org/users/local/S7r2cPod/items/93JGW5IG"],"itemData":{"id":138,"type":"article-journal","title":"Executive compensation: A multidisciplinary review of recent developments","container-title":"Journal of Management","page":"1016-1072","volume":"33","issue":"6","source":"CrossRef","ISSN":"0149-2063","shortTitle":"Executive Compensation","author":[{"family":"Devers","given":"C. E."},{"family":"Cannella","given":"A. A."},{"family":"Reilly","given":"G. P."},{"family":"Yoder","given":"M. E."}],"issued":{"date-parts":[["2007",12,1]]},"accessed":{"date-parts":[["2013",5,15]]}}},{"id":151,"uris":["http://zotero.org/users/local/S7r2cPod/items/XNPFTIVD"],"uri":["http://zotero.org/users/local/S7r2cPod/items/XNPFTIVD"],"itemData":{"id":151,"type":"article-journal","title":"Agency theory: An assessment and review","container-title":"Academy of Management Review","page":"57-74","volume":"14","issue":"1","source":"JSTOR","abstract":"Agency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structure.","ISSN":"0363-7425","note":"ArticleType: research-article / Full publication date: Jan., 1989 / Copyright © 1989 Academy of Management","shortTitle":"Agency Theory","journalAbbreviation":"The Academy of Management Review","author":[{"family":"Eisenhardt","given":"Kathleen M."}],"issued":{"date-parts":[["1989",1,1]]},"accessed":{"date-parts":[["2013",5,15]]}}},{"id":228,"uris":["http://zotero.org/users/local/S7r2cPod/items/UJG6HVUE"],"uri":["http://zotero.org/users/local/S7r2cPod/items/UJG6HVUE"],"itemData":{"id":228,"type":"article-journal","title":"CEO incentives, innovation, and performance in technology-intensive firms: A reconciliation of outcome and behavior-based incentive schemes","container-title":"Strategic Management Journal","page":"1057–1080","volume":"27","issue":"11","source":"Wiley Online Library","abstract":"Building on the agency view of corporate governance, we propose that technology-intensive firms use both outcome and behavior-based performance criteria for rewarding CEOs. Using a sample of 206 firms from 12 U.S. manufacturing industries, we find that as technological intensity increases CEO bonuses are more closely linked to financial results and that total CEO incentives are associated with two indicators of desirable innovation behaviors: invention resonance and science harvesting. Invention resonance refers to the impact a firm's inventions have on other firms' inventions, while science harvesting reflects a firm's commitment to scientific research. As technological intensity increases, aligning bonus with financial results, total incentives with invention resonance, and total incentives with science harvesting predict firm market performance. Copyright © 2006 John Wiley &amp; Sons, Ltd.","ISSN":"1097-0266","shortTitle":"CEO incentives, innovation, and performance in technology-intensive firms","language":"en","author":[{"family":"Makri","given":"Marianna"},{"family":"Lane","given":"Peter J."},{"family":"Gomez-Mejia","given":"Luis R."}],"issued":{"date-parts":[["2006"]]},"accessed":{"date-parts":[["2013",5,15]]}}},{"id":413,"uris":["http://zotero.org/users/local/S7r2cPod/items/GZMAJIAN"],"uri":["http://zotero.org/users/local/S7r2cPod/items/GZMAJIAN"],"itemData":{"id":413,"type":"article-journal","title":"Risks of corporate entrepreneurship: Autonomy and agency issues","container-title":"Organization Science","page":"194-206","volume":"23","issue":"1","source":"orgsci.journal.informs.org","abstract":"Although research on corporate entrepreneurship (CE) has attracted increasing attention, risks of CE are not well examined. In this paper, we examine direct and indirect agency risks associated with providing middle and operational managers with autonomy in the hopes of encouraging CE. The key ideas behind our discussion involve two dilemmas of CE. (1) To solve the risk-averseness problem of middle and operational managers and unleash their entrepreneurial ideas, top management needs to encourage autonomous behaviors, which can also exacerbate a different type of agency problem: opportunistic behaviors. (2) Although the generation of new ideas to explore new strategic directions and/or opportunities is important, the very newness of the ideas make them difficult to evaluate, and thus the selection process may be perceived as unfair by some managers. We propose that (a) stock options, (b) passive monitoring, and (c) perceived procedural justice would attenuate the negative side effects associated with CE, such as opportunistic behaviors and perceived unfairness. Although research in CE often stresses autonomy of middle and operational managers for new idea generation as important, examining the whole process in terms of idea generation, selection, and implementation with respect to potential risks will extend the CE literature.","ISSN":"1047-7039, 1526-5455","shortTitle":"Risks of Corporate Entrepreneurship","journalAbbreviation":"Organization Science","language":"en","author":[{"family":"Shimizu","given":"Katsuhiko (Katsu)"}],"issued":{"date-parts":[["2012",1,1]]},"accessed":{"date-parts":[["2013",7,8]]}}}],"schema":"https://github.com/citation-style-language/schema/raw/master/csl-citation.json"} </w:instrText>
      </w:r>
      <w:r w:rsidRPr="00CC756C">
        <w:rPr>
          <w:rFonts w:cs="Times New Roman"/>
          <w:sz w:val="22"/>
        </w:rPr>
        <w:fldChar w:fldCharType="separate"/>
      </w:r>
      <w:r w:rsidR="006E23B2">
        <w:rPr>
          <w:rFonts w:cs="Times New Roman"/>
          <w:sz w:val="22"/>
        </w:rPr>
        <w:t>(</w:t>
      </w:r>
      <w:r w:rsidRPr="00CC756C">
        <w:rPr>
          <w:rFonts w:cs="Times New Roman"/>
          <w:sz w:val="22"/>
        </w:rPr>
        <w:t>Eisenhardt, 1989;</w:t>
      </w:r>
      <w:r w:rsidR="009577D5">
        <w:rPr>
          <w:rFonts w:cs="Times New Roman"/>
          <w:sz w:val="22"/>
        </w:rPr>
        <w:t xml:space="preserve"> </w:t>
      </w:r>
      <w:r w:rsidRPr="00CC756C">
        <w:rPr>
          <w:rFonts w:cs="Times New Roman"/>
          <w:sz w:val="22"/>
        </w:rPr>
        <w:t>Shimizu, 2012)</w:t>
      </w:r>
      <w:r w:rsidRPr="00CC756C">
        <w:rPr>
          <w:rFonts w:cs="Times New Roman"/>
          <w:sz w:val="22"/>
        </w:rPr>
        <w:fldChar w:fldCharType="end"/>
      </w:r>
      <w:r w:rsidRPr="00CC756C">
        <w:rPr>
          <w:rFonts w:cs="Times New Roman"/>
          <w:sz w:val="22"/>
        </w:rPr>
        <w:t xml:space="preserve">. Through these schemes, the contract rewards the partner based on outcomes that are closely related to their efforts by means of incentives to meet performance goals </w:t>
      </w:r>
      <w:r w:rsidRPr="00CC756C">
        <w:rPr>
          <w:rFonts w:cs="Times New Roman"/>
          <w:sz w:val="22"/>
        </w:rPr>
        <w:fldChar w:fldCharType="begin"/>
      </w:r>
      <w:r w:rsidRPr="00CC756C">
        <w:rPr>
          <w:rFonts w:cs="Times New Roman"/>
          <w:sz w:val="22"/>
        </w:rPr>
        <w:instrText xml:space="preserve"> ADDIN ZOTERO_ITEM CSL_CITATION {"citationID":"DPgKormO","properties":{"formattedCitation":"(N. Argyres &amp; Mayer, 2007; Lyons, 1996)","plainCitation":"(N. Argyres &amp; Mayer, 2007; Lyons, 1996)","dontUpdate":true},"citationItems":[{"id":104,"uris":["http://zotero.org/users/local/S7r2cPod/items/KUQBMRMZ"],"uri":["http://zotero.org/users/local/S7r2cPod/items/KUQBMRMZ"],"itemData":{"id":104,"type":"article-journal","title":"Contract design as a firm capability: An integration of learning and transaction cost perspectives","container-title":"Academy of Management Review","page":"1060-1077","volume":"32","issue":"4","source":"JSTOR","abstract":"Our aim is to unpack contract design capabilities for detailed commercial contracts, to draw out implications for the locus of such capabilities within the firm, and to examine implications for exploiting those capabilities as a potential source of competitive advantage. We argue that developing contract design capabilities involves learning how much and what kinds of detail to include in a contract. We further argue that knowledge about the management of these trade-offs resides differentially in managers, engineers, and lawyers regarding different types of contractual provisions.","ISSN":"0363-7425","note":"ArticleType: research-article / Full publication date: Oct., 2007 / Copyright © 2007 Academy of Management","shortTitle":"Contract Design as a Firm Capability","journalAbbreviation":"The Academy of Management Review","author":[{"family":"Argyres","given":"Nicholas"},{"family":"Mayer","given":"Kyle J."}],"issued":{"date-parts":[["2007",10,1]]},"accessed":{"date-parts":[["2013",5,15]]}}},{"id":192,"uris":["http://zotero.org/users/local/S7r2cPod/items/QWKIBS2G"],"uri":["http://zotero.org/users/local/S7r2cPod/items/QWKIBS2G"],"itemData":{"id":192,"type":"article-journal","title":"Empirical relevance of efficient contract theory: inter-firm contracts","container-title":"Oxford Review of Economic Policy","page":"27-52","volume":"12","issue":"4","source":"oxrep.oxfordjournals.org","abstract":"Although there has been enormous development of the theory of efficient contracts in the last 20 years, empirical tests were slow to come. However, over the last 10 years, a considerable body of evidence has accumulated, particularly in relation to contracts between firms. This paper develops a simple, integrated theoretical framework to illustrate 11 testable hypotheses. The contract theories covered include risk sharing, principal-agent incentive models, transaction cost and incomplete contract models with specific investment, and the theory of relational contracting. The problems associated with empirical work on contracts are discussed before setting the hypotheses against a wide range of econometric and other empirical evidence (including work on franchising, sharecropping, subcontracting, contract duration, private institutions, experimental evidence, and a wide range of case studies).","ISSN":"0266-903X, 1460-2121","shortTitle":"Empirical relevance of efficient contract theory","journalAbbreviation":"Oxf Rev Econ Policy","language":"en","author":[{"family":"Lyons","given":"B. R."}],"issued":{"date-parts":[["1996",1,12]]},"accessed":{"date-parts":[["2013",5,16]]}}}],"schema":"https://github.com/citation-style-language/schema/raw/master/csl-citation.json"} </w:instrText>
      </w:r>
      <w:r w:rsidRPr="00CC756C">
        <w:rPr>
          <w:rFonts w:cs="Times New Roman"/>
          <w:sz w:val="22"/>
        </w:rPr>
        <w:fldChar w:fldCharType="separate"/>
      </w:r>
      <w:r w:rsidRPr="00CC756C">
        <w:rPr>
          <w:rFonts w:cs="Times New Roman"/>
          <w:sz w:val="22"/>
        </w:rPr>
        <w:t>(Argyres &amp; Mayer, 2007; Lyons, 1996)</w:t>
      </w:r>
      <w:r w:rsidRPr="00CC756C">
        <w:rPr>
          <w:rFonts w:cs="Times New Roman"/>
          <w:sz w:val="22"/>
        </w:rPr>
        <w:fldChar w:fldCharType="end"/>
      </w:r>
      <w:r w:rsidRPr="00CC756C">
        <w:rPr>
          <w:rFonts w:cs="Times New Roman"/>
          <w:sz w:val="22"/>
        </w:rPr>
        <w:t xml:space="preserve">. If the rewards are linked to behavior or the resources used, the partner will be discouraged from engaging in activities, such as incremental and radical innovation, that will not be rewarded </w:t>
      </w:r>
      <w:r w:rsidRPr="00CC756C">
        <w:rPr>
          <w:rFonts w:cs="Times New Roman"/>
          <w:sz w:val="22"/>
        </w:rPr>
        <w:fldChar w:fldCharType="begin"/>
      </w:r>
      <w:r w:rsidRPr="00CC756C">
        <w:rPr>
          <w:rFonts w:cs="Times New Roman"/>
          <w:sz w:val="22"/>
        </w:rPr>
        <w:instrText xml:space="preserve"> ADDIN ZOTERO_ITEM CSL_CITATION {"citationID":"X0jwnqPy","properties":{"formattedCitation":"(Deckop, Mangel, &amp; Cirka, 1999; Eisenhardt, 1989)","plainCitation":"(Deckop, Mangel, &amp; Cirka, 1999; Eisenhardt, 1989)"},"citationItems":[{"id":118,"uris":["http://zotero.org/users/local/S7r2cPod/items/MF5JJD24"],"uri":["http://zotero.org/users/local/S7r2cPod/items/MF5JJD24"],"itemData":{"id":118,"type":"article-journal","title":"Getting more than you pay for: Organizational citizenship behavior and pay-for-performance plans","container-title":"Academy of Management Journal","page":"420-428","volume":"42","issue":"4","source":"JSTOR","abstract":"Economic control frameworks such as agency theory start with the assumption that employee and employer interests naturally diverge, whereas alternative control frameworks imply that employee and employer interests are often aligned. Integrating these literatures, we hypothesized that value alignment moderates the impact of pay for performance on extrarole behaviors. Our study of employees in the utility industry supported this hypothesis. Pay for performance had a negative impact on extrarole behaviors for employees low in value alignment but not for employees high in value alignment.","ISSN":"0001-4273","note":"ArticleType: research-article / Full publication date: Aug., 1999 / Copyright © 1999 Academy of Management","shortTitle":"Getting More than You Pay for","journalAbbreviation":"The Academy of Management Journal","author":[{"family":"Deckop","given":"John R."},{"family":"Mangel","given":"Robert"},{"family":"Cirka","given":"Carol C."}],"issued":{"date-parts":[["1999",8,1]]},"accessed":{"date-parts":[["2013",5,15]]}}},{"id":151,"uris":["http://zotero.org/users/local/S7r2cPod/items/XNPFTIVD"],"uri":["http://zotero.org/users/local/S7r2cPod/items/XNPFTIVD"],"itemData":{"id":151,"type":"article-journal","title":"Agency theory: An assessment and review","container-title":"Academy of Management Review","page":"57-74","volume":"14","issue":"1","source":"JSTOR","abstract":"Agency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structure.","ISSN":"0363-7425","note":"ArticleType: research-article / Full publication date: Jan., 1989 / Copyright © 1989 Academy of Management","shortTitle":"Agency Theory","journalAbbreviation":"The Academy of Management Review","author":[{"family":"Eisenhardt","given":"Kathleen M."}],"issued":{"date-parts":[["1989",1,1]]},"accessed":{"date-parts":[["2013",5,15]]}}}],"schema":"https://github.com/citation-style-language/schema/raw/master/csl-citation.json"}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(Deckop, Mangel, &amp; Cirka, 1999; Eisenhardt, 1989)</w:t>
      </w:r>
      <w:r w:rsidRPr="00CC756C">
        <w:rPr>
          <w:rFonts w:cs="Times New Roman"/>
          <w:sz w:val="22"/>
        </w:rPr>
        <w:fldChar w:fldCharType="end"/>
      </w:r>
      <w:r w:rsidRPr="00CC756C">
        <w:rPr>
          <w:rFonts w:cs="Times New Roman"/>
          <w:sz w:val="22"/>
        </w:rPr>
        <w:t xml:space="preserve">. In these cases, the partner limits themselves to perform only those activities and behaviors that are specified in the contract and for which they are being paid. On the other hand, when rewards are linked to performance, it induces the partner to behave in the interest of the focal firm and to engage in improved or new activities that improve performance. Therefore, the partner will invest in performance improvement via innovative activities, anticipating that the incentive payment will offset the investment </w:t>
      </w:r>
      <w:r w:rsidRPr="00CC756C">
        <w:rPr>
          <w:rFonts w:cs="Times New Roman"/>
          <w:sz w:val="22"/>
        </w:rPr>
        <w:fldChar w:fldCharType="begin"/>
      </w:r>
      <w:r w:rsidRPr="00CC756C">
        <w:rPr>
          <w:rFonts w:cs="Times New Roman"/>
          <w:sz w:val="22"/>
        </w:rPr>
        <w:instrText xml:space="preserve"> ADDIN ZOTERO_ITEM CSL_CITATION {"citationID":"JPrWrhoA","properties":{"formattedCitation":"(Heinrich &amp; Choi, 2007)","plainCitation":"(Heinrich &amp; Choi, 2007)"},"citationItems":[{"id":188,"uris":["http://zotero.org/users/local/S7r2cPod/items/UPKDX8TD"],"uri":["http://zotero.org/users/local/S7r2cPod/items/UPKDX8TD"],"itemData":{"id":188,"type":"article-journal","title":"Performance-based contracting in social welfare programs","container-title":"The American Review of Public Administration","page":"409-435","volume":"37","issue":"4","source":"arp.sagepub.com","abstract":"The Wisconsin Works (W-2) program changed the administrative structure for social welfare services delivery from county government administration to one that includes performance-based contracting and private sector management of programs. We present a theoretical discussion of government contracting and the implications of alternative contract structures for service provider behavior and performance. We then analyze W-2 contract design and management across four contract periods (1997-2005) as the state transitioned to a performance-based contracting regime. We find that the state made rational changes in the W-2 contract specifications and performance measures that should have improved contract efficiency and effectiveness over time, and service providers responded to these changes in allocating effort toward the achievement of priority performance goals. At the same time, deficiencies in program administration and contract management contributed to some contract and performance failures and setbacks.","ISSN":"0275-0740, 1552-3357","journalAbbreviation":"The American Review of Public Administration","language":"en","author":[{"family":"Heinrich","given":"Carolyn J."},{"family":"Choi","given":"Youseok"}],"issued":{"date-parts":[["2007",1,12]]},"accessed":{"date-parts":[["2013",5,15]]}}}],"schema":"https://github.com/citation-style-language/schema/raw/master/csl-citation.json"}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(Heinrich &amp; Choi, 2007)</w:t>
      </w:r>
      <w:r w:rsidRPr="00CC756C">
        <w:rPr>
          <w:rFonts w:cs="Times New Roman"/>
          <w:sz w:val="22"/>
        </w:rPr>
        <w:fldChar w:fldCharType="end"/>
      </w:r>
      <w:r w:rsidRPr="00CC756C">
        <w:rPr>
          <w:rFonts w:cs="Times New Roman"/>
          <w:sz w:val="22"/>
        </w:rPr>
        <w:t xml:space="preserve">. Indeed, financial incentives have been demonstrated to be positively related to incremental and radical innovation </w:t>
      </w:r>
      <w:r w:rsidRPr="00CC756C">
        <w:rPr>
          <w:rFonts w:cs="Times New Roman"/>
          <w:sz w:val="22"/>
        </w:rPr>
        <w:fldChar w:fldCharType="begin"/>
      </w:r>
      <w:r w:rsidRPr="00CC756C">
        <w:rPr>
          <w:rFonts w:cs="Times New Roman"/>
          <w:sz w:val="22"/>
        </w:rPr>
        <w:instrText xml:space="preserve"> ADDIN ZOTERO_ITEM CSL_CITATION {"citationID":"FwjkyHIL","properties":{"formattedCitation":"(Abbey &amp; Dickson, 1983; Johnson &amp; Medcof, 2007; Shepherd &amp; DeTienne, 2005)","plainCitation":"(Abbey &amp; Dickson, 1983; Johnson &amp; Medcof, 2007; Shepherd &amp; DeTienne, 2005)"},"citationItems":[{"id":83,"uris":["http://zotero.org/users/local/S7r2cPod/items/2KRQU43C"],"uri":["http://zotero.org/users/local/S7r2cPod/items/2KRQU43C"],"itemData":{"id":83,"type":"article-journal","title":"R&amp;D work climate and innovation in semiconductors","container-title":"Academy of Management Journal","page":"362-368","volume":"26","issue":"2","source":"JSTOR","ISSN":"0001-4273","note":"ArticleType: research-article / Full publication date: Jun., 1983 / Copyright © 1983 Academy of Management","journalAbbreviation":"The Academy of Management Journal","author":[{"family":"Abbey","given":"Augustus"},{"family":"Dickson","given":"John W."}],"issued":{"date-parts":[["1983",6,1]]},"accessed":{"date-parts":[["2013",5,15]]}}},{"id":34,"uris":["http://zotero.org/users/local/S7r2cPod/items/ZDZ7UX7Z"],"uri":["http://zotero.org/users/local/S7r2cPod/items/ZDZ7UX7Z"],"itemData":{"id":34,"type":"article-journal","title":"Motivating proactive subsidiary innovation: Agent-based theory and socialization models in global R&amp;D","container-title":"Journal of International Management","page":"472-487","volume":"13","issue":"4","source":"ScienceDirect","abstract":"An integration of agency theory and socialization models is developed and used to explain the types of governance and organizational structures associated with self-initiated subsidiary innovation. This theorizing suggests that: 1) The hub structure is the greatest user of behavior-based contracting and engenders the fewest self-initiated innovations; 2) The federation structure is the greatest user of outcome-based contracting and engenders the most self-initiated innovations, but these are primarily oriented to business level strategy rather than corporate; and, 3) The network structure is the greatest user of goal internalization and is the strongest generator of self-initiated innovations which are oriented to corporate-level strategy. The empirical evidence from extant studies of other researchers in the field is consistent with these propositions. Implications for management practice, research and theory are discussed in the paper.","ISSN":"1075-4253","shortTitle":"Motivating proactive subsidiary innovation","journalAbbreviation":"Journal of International Management","author":[{"family":"Johnson","given":"William H.A."},{"family":"Medcof","given":"John W."}],"issued":{"date-parts":[["2007",12]]},"accessed":{"date-parts":[["2013",5,15]]}}},{"id":274,"uris":["http://zotero.org/users/local/S7r2cPod/items/ZK9DPQAT"],"uri":["http://zotero.org/users/local/S7r2cPod/items/ZK9DPQAT"],"itemData":{"id":274,"type":"article-journal","title":"Prior knowledge, potential financial reward, and opportunity identification","container-title":"Entrepreneurship Theory and Practice","page":"91–112","volume":"29","issue":"1","source":"Wiley Online Library","abstract":"This article simultaneously explores the constructs of potential financial reward and prior knowledge of customer problems to provide a deeper understanding of the identification of opportunities. Results suggest that while prior knowledge of customer problems leads to the identification of more opportunities and opportunities that are more innovative, it also moderates the relationship between potential financial reward and opportunity identification. We found that the less knowledgeable an individual was about customer problems, the more positive the effect that potential financial reward had on the number of opportunities identified and the innovativeness of those opportunities.","ISSN":"1540-6520","language":"en","author":[{"family":"Shepherd","given":"Dean A."},{"family":"DeTienne","given":"Dawn R."}],"issued":{"date-parts":[["2005"]]},"accessed":{"date-parts":[["2013",5,15]]}}}],"schema":"https://github.com/citation-style-language/schema/raw/master/csl-citation.json"}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(Abbey &amp; Dickson, 1983; Johnson &amp; Medcof, 2007; Shepherd &amp; DeTienne, 2005)</w:t>
      </w:r>
      <w:r w:rsidRPr="00CC756C">
        <w:rPr>
          <w:rFonts w:cs="Times New Roman"/>
          <w:sz w:val="22"/>
        </w:rPr>
        <w:fldChar w:fldCharType="end"/>
      </w:r>
      <w:r w:rsidRPr="00CC756C">
        <w:rPr>
          <w:rFonts w:cs="Times New Roman"/>
          <w:sz w:val="22"/>
        </w:rPr>
        <w:t xml:space="preserve">. However, compared to incremental innovation, radical innovation involves higher uncertainty, complexity and unpredictability </w:t>
      </w:r>
      <w:r w:rsidRPr="00CC756C">
        <w:rPr>
          <w:rFonts w:cs="Times New Roman"/>
          <w:sz w:val="22"/>
        </w:rPr>
        <w:fldChar w:fldCharType="begin"/>
      </w:r>
      <w:r w:rsidRPr="00CC756C">
        <w:rPr>
          <w:rFonts w:cs="Times New Roman"/>
          <w:sz w:val="22"/>
        </w:rPr>
        <w:instrText xml:space="preserve"> ADDIN ZOTERO_ITEM CSL_CITATION {"citationID":"1fact4a6uh","properties":{"formattedCitation":"(Cabrales, Medina, Lavado, &amp; Cabrera, 2008)","plainCitation":"(Cabrales, Medina, Lavado, &amp; Cabrera, 2008)"},"citationItems":[{"id":510,"uris":["http://zotero.org/users/local/S7r2cPod/items/P9PKNPTC"],"uri":["http://zotero.org/users/local/S7r2cPod/items/P9PKNPTC"],"itemData":{"id":510,"type":"article-journal","title":"Managing functional diversity, risk taking and incentives for teams to achieve radical innovations","container-title":"R&amp;D Management","page":"35–50","volume":"38","issue":"1","source":"Wiley Online Library","abstract":"In this study we analyse the effect of team diversity, encouragement to take risks and team incentives on the degree of radicalness of innovation. Empirical research has been conducted with a sample of 95 companies from four innovative industries according to their high number of patents. The results indicate that team diversity and the combined use of long- and short-term incentives are associated with incremental innovation, whereas the development of risk-taking attitudes within the team is associated with radical innovation.","ISSN":"1467-9310","language":"en","author":[{"family":"Cabrales","given":"Álvaro López"},{"family":"Medina","given":"Carmen Cabello"},{"family":"Lavado","given":"Antonio Carmona"},{"family":"Cabrera","given":"Ramón Valle"}],"issued":{"date-parts":[["2008"]]},"accessed":{"date-parts":[["2013",10,24]]}}}],"schema":"https://github.com/citation-style-language/schema/raw/master/csl-citation.json"} </w:instrText>
      </w:r>
      <w:r w:rsidRPr="00CC756C">
        <w:rPr>
          <w:rFonts w:cs="Times New Roman"/>
          <w:sz w:val="22"/>
        </w:rPr>
        <w:fldChar w:fldCharType="separate"/>
      </w:r>
      <w:r w:rsidRPr="00CC756C">
        <w:rPr>
          <w:rFonts w:cs="Times New Roman"/>
          <w:sz w:val="22"/>
        </w:rPr>
        <w:t>(Cabrales, Medina, Lavado, &amp; Cabrera, 2008)</w:t>
      </w:r>
      <w:r w:rsidRPr="00CC756C">
        <w:rPr>
          <w:rFonts w:cs="Times New Roman"/>
          <w:sz w:val="22"/>
        </w:rPr>
        <w:fldChar w:fldCharType="end"/>
      </w:r>
      <w:r w:rsidRPr="00CC756C">
        <w:rPr>
          <w:rFonts w:cs="Times New Roman"/>
          <w:sz w:val="22"/>
        </w:rPr>
        <w:t>. Radical innovation is associated with higher variability in outcomes and a higher probability of failure. Hence, radical innovation is inherently more risky than incremental innovation. At the same time, this high risk is compensated by higher net profits. Higher gains tend to require that more risk is taken: one cannot have high returns without taking substantial risks. As the net profits will be higher for radical innovation, we expect the positive effect of pay-for-performance to be stronger here than for incremental innovation. We thus state:</w:t>
      </w:r>
    </w:p>
    <w:p w:rsidR="00CC756C" w:rsidRPr="00CC756C" w:rsidRDefault="00CC756C" w:rsidP="00CC756C">
      <w:pPr>
        <w:autoSpaceDE w:val="0"/>
        <w:autoSpaceDN w:val="0"/>
        <w:adjustRightInd w:val="0"/>
        <w:ind w:firstLine="720"/>
        <w:rPr>
          <w:rFonts w:cs="Times New Roman"/>
          <w:sz w:val="22"/>
        </w:rPr>
      </w:pPr>
    </w:p>
    <w:p w:rsidR="00CC756C" w:rsidRPr="00CC756C" w:rsidRDefault="00CC756C" w:rsidP="00CC756C">
      <w:pPr>
        <w:autoSpaceDE w:val="0"/>
        <w:autoSpaceDN w:val="0"/>
        <w:adjustRightInd w:val="0"/>
        <w:rPr>
          <w:rFonts w:cs="Times New Roman"/>
          <w:i/>
          <w:sz w:val="22"/>
        </w:rPr>
      </w:pPr>
      <w:r w:rsidRPr="00CC756C">
        <w:rPr>
          <w:rFonts w:cs="Times New Roman"/>
          <w:b/>
          <w:i/>
          <w:sz w:val="22"/>
        </w:rPr>
        <w:t>Hypotheses 2A&amp;2B:</w:t>
      </w:r>
      <w:r w:rsidRPr="00CC756C">
        <w:rPr>
          <w:rFonts w:cs="Times New Roman"/>
          <w:i/>
          <w:sz w:val="22"/>
        </w:rPr>
        <w:t xml:space="preserve"> There is a positive relationship between paying the partner based on their performance and incremental (a) and radical (b) innovation.</w:t>
      </w:r>
    </w:p>
    <w:p w:rsidR="00CC756C" w:rsidRPr="00CC756C" w:rsidRDefault="00CC756C" w:rsidP="00CC756C">
      <w:pPr>
        <w:autoSpaceDE w:val="0"/>
        <w:autoSpaceDN w:val="0"/>
        <w:adjustRightInd w:val="0"/>
        <w:rPr>
          <w:rFonts w:cs="Times New Roman"/>
          <w:i/>
          <w:sz w:val="22"/>
        </w:rPr>
      </w:pPr>
      <w:r w:rsidRPr="00CC756C">
        <w:rPr>
          <w:rFonts w:cs="Times New Roman"/>
          <w:b/>
          <w:i/>
          <w:sz w:val="22"/>
        </w:rPr>
        <w:t xml:space="preserve">Hypothesis 2C: </w:t>
      </w:r>
      <w:r w:rsidRPr="00CC756C">
        <w:rPr>
          <w:rFonts w:cs="Times New Roman"/>
          <w:i/>
          <w:sz w:val="22"/>
        </w:rPr>
        <w:t>The positive effect of pay-for-performance is stronger for radical than for incremental innovation.</w:t>
      </w:r>
    </w:p>
    <w:p w:rsidR="00CC756C" w:rsidRPr="00CC756C" w:rsidRDefault="00CC756C" w:rsidP="00CC756C">
      <w:pPr>
        <w:autoSpaceDE w:val="0"/>
        <w:autoSpaceDN w:val="0"/>
        <w:adjustRightInd w:val="0"/>
        <w:rPr>
          <w:rFonts w:cs="Times New Roman"/>
          <w:i/>
          <w:sz w:val="22"/>
        </w:rPr>
      </w:pPr>
    </w:p>
    <w:p w:rsidR="00CC756C" w:rsidRPr="00CC756C" w:rsidRDefault="00CC756C" w:rsidP="00CC756C">
      <w:pPr>
        <w:pStyle w:val="ListParagraph"/>
        <w:numPr>
          <w:ilvl w:val="1"/>
          <w:numId w:val="1"/>
        </w:numPr>
        <w:autoSpaceDE w:val="0"/>
        <w:autoSpaceDN w:val="0"/>
        <w:adjustRightInd w:val="0"/>
        <w:ind w:left="0" w:firstLine="0"/>
        <w:rPr>
          <w:rFonts w:cs="Times New Roman"/>
          <w:i/>
          <w:sz w:val="22"/>
        </w:rPr>
      </w:pPr>
      <w:r w:rsidRPr="00CC756C">
        <w:rPr>
          <w:rFonts w:cs="Times New Roman"/>
          <w:i/>
          <w:sz w:val="22"/>
        </w:rPr>
        <w:t>Moderation Effect of Risk-Aversion on Incremental and Radical Innovation</w:t>
      </w:r>
    </w:p>
    <w:p w:rsidR="00CC756C" w:rsidRPr="00CC756C" w:rsidRDefault="00CC756C" w:rsidP="00CC756C">
      <w:pPr>
        <w:autoSpaceDE w:val="0"/>
        <w:autoSpaceDN w:val="0"/>
        <w:adjustRightInd w:val="0"/>
        <w:rPr>
          <w:rFonts w:cs="Times New Roman"/>
          <w:b/>
          <w:sz w:val="22"/>
        </w:rPr>
      </w:pPr>
      <w:r w:rsidRPr="00CC756C">
        <w:rPr>
          <w:rFonts w:cs="Times New Roman"/>
          <w:sz w:val="22"/>
        </w:rPr>
        <w:lastRenderedPageBreak/>
        <w:t xml:space="preserve">AT furthermore suggests that </w:t>
      </w:r>
      <w:r w:rsidRPr="00CC756C">
        <w:rPr>
          <w:rFonts w:cs="Times New Roman"/>
          <w:bCs/>
          <w:sz w:val="22"/>
        </w:rPr>
        <w:t>the optimal reward scheme depends on th</w:t>
      </w:r>
      <w:r w:rsidR="00BC52A2">
        <w:rPr>
          <w:rFonts w:cs="Times New Roman"/>
          <w:bCs/>
          <w:sz w:val="22"/>
        </w:rPr>
        <w:t xml:space="preserve">e partner’s </w:t>
      </w:r>
      <w:r w:rsidRPr="00CC756C">
        <w:rPr>
          <w:rFonts w:cs="Times New Roman"/>
          <w:bCs/>
          <w:sz w:val="22"/>
        </w:rPr>
        <w:t xml:space="preserve">degree of risk-aversion </w:t>
      </w:r>
      <w:r w:rsidRPr="00CC756C">
        <w:rPr>
          <w:rFonts w:cs="Times New Roman"/>
          <w:bCs/>
          <w:sz w:val="22"/>
        </w:rPr>
        <w:fldChar w:fldCharType="begin"/>
      </w:r>
      <w:r w:rsidRPr="00CC756C">
        <w:rPr>
          <w:rFonts w:cs="Times New Roman"/>
          <w:bCs/>
          <w:sz w:val="22"/>
        </w:rPr>
        <w:instrText xml:space="preserve"> ADDIN ZOTERO_ITEM CSL_CITATION {"citationID":"2mo4ftraf2","properties":{"formattedCitation":"(Eisenhardt, 1989; Levinthal, 1988)","plainCitation":"(Eisenhardt, 1989; Levinthal, 1988)"},"citationItems":[{"id":151,"uris":["http://zotero.org/users/local/S7r2cPod/items/XNPFTIVD"],"uri":["http://zotero.org/users/local/S7r2cPod/items/XNPFTIVD"],"itemData":{"id":151,"type":"article-journal","title":"Agency theory: An assessment and review","container-title":"Academy of Management Review","page":"57-74","volume":"14","issue":"1","source":"JSTOR","abstract":"Agency theory is an important, yet controversial, theory. This paper reviews agency theory, its contributions to organization theory, and the extant empirical work and develops testable propositions. The conclusions are that agency theory (a) offers unique insight into information systems, outcome uncertainty, incentives, and risk and (b) is an empirically valid perspective, particularly when coupled with complementary perspectives. The principal recommendation is to incorporate an agency perspective in studies of the many problems having a cooperative structure.","ISSN":"0363-7425","note":"ArticleType: research-article / Full publication date: Jan., 1989 / Copyright © 1989 Academy of Management","shortTitle":"Agency Theory","journalAbbreviation":"The Academy of Management Review","author":[{"family":"Eisenhardt","given":"Kathleen M."}],"issued":{"date-parts":[["1989",1,1]]},"accessed":{"date-parts":[["2013",5,15]]}}},{"id":211,"uris":["http://zotero.org/users/local/S7r2cPod/items/VFEP9MQH"],"uri":["http://zotero.org/users/local/S7r2cPod/items/VFEP9MQH"],"itemData":{"id":211,"type":"article-journal","title":"A survey of agency models of organizations","container-title":"Journal of Economic Behavior &amp; Organization","page":"153-185","volume":"9","issue":"2","source":"RePEc - IDEAS","abstract":"No abstract is available for this item.","author":[{"family":"Levinthal","given":"Daniel"}],"issued":{"date-parts":[["1988"]]},"accessed":{"date-parts":[["2013",5,15]]}}}],"schema":"https://github.com/citation-style-language/schema/raw/master/csl-citation.json"} </w:instrText>
      </w:r>
      <w:r w:rsidRPr="00CC756C">
        <w:rPr>
          <w:rFonts w:cs="Times New Roman"/>
          <w:bCs/>
          <w:sz w:val="22"/>
        </w:rPr>
        <w:fldChar w:fldCharType="separate"/>
      </w:r>
      <w:r w:rsidRPr="00CC756C">
        <w:rPr>
          <w:rFonts w:cs="Times New Roman"/>
          <w:sz w:val="22"/>
        </w:rPr>
        <w:t>(E</w:t>
      </w:r>
      <w:r w:rsidR="00BC52A2">
        <w:rPr>
          <w:rFonts w:cs="Times New Roman"/>
          <w:sz w:val="22"/>
        </w:rPr>
        <w:t>isenhardt, 1989</w:t>
      </w:r>
      <w:r w:rsidRPr="00CC756C">
        <w:rPr>
          <w:rFonts w:cs="Times New Roman"/>
          <w:sz w:val="22"/>
        </w:rPr>
        <w:t>)</w:t>
      </w:r>
      <w:r w:rsidRPr="00CC756C">
        <w:rPr>
          <w:rFonts w:cs="Times New Roman"/>
          <w:bCs/>
          <w:sz w:val="22"/>
        </w:rPr>
        <w:fldChar w:fldCharType="end"/>
      </w:r>
      <w:r w:rsidRPr="00CC756C">
        <w:rPr>
          <w:rFonts w:cs="Times New Roman"/>
          <w:bCs/>
          <w:sz w:val="22"/>
        </w:rPr>
        <w:t>. When the partner is paid based</w:t>
      </w:r>
      <w:r w:rsidR="00BC52A2">
        <w:rPr>
          <w:rFonts w:cs="Times New Roman"/>
          <w:sz w:val="22"/>
        </w:rPr>
        <w:t xml:space="preserve"> on their performance </w:t>
      </w:r>
      <w:r w:rsidRPr="00CC756C">
        <w:rPr>
          <w:rFonts w:cs="Times New Roman"/>
          <w:sz w:val="22"/>
        </w:rPr>
        <w:t xml:space="preserve">their liability increases </w:t>
      </w:r>
      <w:r w:rsidRPr="00CC756C">
        <w:rPr>
          <w:rFonts w:cs="Times New Roman"/>
          <w:sz w:val="22"/>
        </w:rPr>
        <w:fldChar w:fldCharType="begin"/>
      </w:r>
      <w:r w:rsidRPr="00CC756C">
        <w:rPr>
          <w:rFonts w:cs="Times New Roman"/>
          <w:sz w:val="22"/>
        </w:rPr>
        <w:instrText xml:space="preserve"> ADDIN ZOTERO_ITEM CSL_CITATION {"citationID":"1m956b9om4","properties":{"formattedCitation":"(Gates et al., 2004)","plainCitation":"(Gates et al., 2004)"},"citationItems":[{"id":167,"uris":["http://zotero.org/users/local/S7r2cPod/items/XHA37GGG"],"uri":["http://zotero.org/users/local/S7r2cPod/items/XHA37GGG"],"itemData":{"id":167,"type":"article-journal","title":"Performance-based contracting: turning vocational policy into jobs","container-title":"Administration and policy in mental health","page":"219-240","volume":"31","issue":"3","source":"NCBI PubMed","abstract":"The New York State Office of Mental Health has implemented a 2-year demonstration to determine if performance-based contracting (PBC) improves rates of competitive employment for people with serious persistent mental health conditions, and promotes best practice among providers. This article reports the interim findings from the demonstration. Initial results suggest that PBC is reaching the target population and promoting employment for a significant proportion of participants. It is also stimulating agency re-evaluation of consumer recruitment strategies, job development models, staffing patterns, coordination with support services, methods of post-placement support, and commitment to competitive employment for consumers.","ISSN":"0894-587X","note":"PMID: 15160785","shortTitle":"Performance-based contracting","journalAbbreviation":"Adm Policy Ment Health","language":"eng","author":[{"family":"Gates","given":"Lauren B"},{"family":"Klein","given":"Suzanne W"},{"family":"Akabas","given":"Sheila H"},{"family":"Myers","given":"Robert"},{"family":"Schwager","given":"Marian"},{"family":"Kaelin-Kee","given":"Jan"}],"issued":{"date-parts":[["2004",1]]},"PMID":"15160785"}}],"schema":"https://github.com/citation-style-language/schema/raw/master/csl-citation.json"} </w:instrText>
      </w:r>
      <w:r w:rsidRPr="00CC756C">
        <w:rPr>
          <w:rFonts w:cs="Times New Roman"/>
          <w:sz w:val="22"/>
        </w:rPr>
        <w:fldChar w:fldCharType="separate"/>
      </w:r>
      <w:r w:rsidRPr="00CC756C">
        <w:rPr>
          <w:rFonts w:cs="Times New Roman"/>
          <w:sz w:val="22"/>
        </w:rPr>
        <w:t>(Gates et al., 2004)</w:t>
      </w:r>
      <w:r w:rsidRPr="00CC756C">
        <w:rPr>
          <w:rFonts w:cs="Times New Roman"/>
          <w:sz w:val="22"/>
        </w:rPr>
        <w:fldChar w:fldCharType="end"/>
      </w:r>
      <w:r w:rsidRPr="00CC756C">
        <w:rPr>
          <w:rFonts w:cs="Times New Roman"/>
          <w:sz w:val="22"/>
        </w:rPr>
        <w:t xml:space="preserve">. The partner is confronted with increased responsibilities and bears more risk </w:t>
      </w:r>
      <w:r w:rsidR="0038112F">
        <w:rPr>
          <w:rFonts w:cs="Times New Roman"/>
          <w:sz w:val="22"/>
        </w:rPr>
        <w:t xml:space="preserve">(e.g., financial risk, failure to meet deadlines) </w:t>
      </w:r>
      <w:r w:rsidRPr="00CC756C">
        <w:rPr>
          <w:rFonts w:cs="Times New Roman"/>
          <w:sz w:val="22"/>
        </w:rPr>
        <w:t xml:space="preserve">because their income stream is uncertain </w:t>
      </w:r>
      <w:r w:rsidRPr="00CC756C">
        <w:rPr>
          <w:rFonts w:cs="Times New Roman"/>
          <w:sz w:val="22"/>
        </w:rPr>
        <w:fldChar w:fldCharType="begin"/>
      </w:r>
      <w:r w:rsidRPr="00CC756C">
        <w:rPr>
          <w:rFonts w:cs="Times New Roman"/>
          <w:sz w:val="22"/>
        </w:rPr>
        <w:instrText xml:space="preserve"> ADDIN ZOTERO_ITEM CSL_CITATION {"citationID":"803ninp43","properties":{"formattedCitation":"(Gates et al., 2004; Gruneberg, Hughes, &amp; Ancell, 2007; Guajardo, Cohen, Kim, &amp; Netessine, 2012; Kim, Cohen, Netessine, &amp; Veeraraghavan, 2010; Ng &amp; Nudurupati, 2010)","plainCitation":"(Gates et al., 2004; Gruneberg, Hughes, &amp; Ancell, 2007; Guajardo, Cohen, Kim, &amp; Netessine, 2012; Kim, Cohen, Netessine, &amp; Veeraraghavan, 2010; Ng &amp; Nudurupati, 2010)"},"citationItems":[{"id":167,"uris":["http://zotero.org/users/local/S7r2cPod/items/XHA37GGG"],"uri":["http://zotero.org/users/local/S7r2cPod/items/XHA37GGG"],"itemData":{"id":167,"type":"article-journal","title":"Performance-based contracting: turning vocational policy into jobs","container-title":"Administration and policy in mental health","page":"219-240","volume":"31","issue":"3","source":"NCBI PubMed","abstract":"The New York State Office of Mental Health has implemented a 2-year demonstration to determine if performance-based contracting (PBC) improves rates of competitive employment for people with serious persistent mental health conditions, and promotes best practice among providers. This article reports the interim findings from the demonstration. Initial results suggest that PBC is reaching the target population and promoting employment for a significant proportion of participants. It is also stimulating agency re-evaluation of consumer recruitment strategies, job development models, staffing patterns, coordination with support services, methods of post-placement support, and commitment to competitive employment for consumers.","ISSN":"0894-587X","note":"PMID: 15160785","shortTitle":"Performance-based contracting","journalAbbreviation":"Adm Policy Ment Health","language":"eng","author":[{"family":"Gates","given":"Lauren B"},{"family":"Klein","given":"Suzanne W"},{"family":"Akabas","given":"Sheila H"},{"family":"Myers","given":"Robert"},{"family":"Schwager","given":"Marian"},{"family":"Kaelin-Kee","given":"Jan"}],"issued":{"date-parts":[["2004",1]]},"PMID":"15160785"}},{"id":171,"uris":["http://zotero.org/users/local/S7r2cPod/items/JAGMZVEP"],"uri":["http://zotero.org/users/local/S7r2cPod/items/JAGMZVEP"],"itemData":{"id":171,"type":"article-journal","title":"Risk under performance</w:instrText>
      </w:r>
      <w:r w:rsidRPr="00CC756C">
        <w:rPr>
          <w:rFonts w:ascii="Cambria Math" w:hAnsi="Cambria Math" w:cs="Cambria Math"/>
          <w:sz w:val="22"/>
        </w:rPr>
        <w:instrText>‐</w:instrText>
      </w:r>
      <w:r w:rsidRPr="00CC756C">
        <w:rPr>
          <w:rFonts w:cs="Times New Roman"/>
          <w:sz w:val="22"/>
        </w:rPr>
        <w:instrText>based contracting in the UK construction sector","container-title":"Construction Management and Economics","page":"691-699","volume":"25","issue":"7","source":"Taylor and Francis+NEJM","abstract":"As a method of procuring the services of the built environment, performance</w:instrText>
      </w:r>
      <w:r w:rsidRPr="00CC756C">
        <w:rPr>
          <w:rFonts w:ascii="Cambria Math" w:hAnsi="Cambria Math" w:cs="Cambria Math"/>
          <w:sz w:val="22"/>
        </w:rPr>
        <w:instrText>‐</w:instrText>
      </w:r>
      <w:r w:rsidRPr="00CC756C">
        <w:rPr>
          <w:rFonts w:cs="Times New Roman"/>
          <w:sz w:val="22"/>
        </w:rPr>
        <w:instrText xml:space="preserve">based contracting (PBC) seeks to link the building supplier to longer term commitments than has traditionally been the case in the construction sector. By rewarding the building producer according to the way that building or structure delivers the users' requirements, rather than according to a list of assembled parts, a number of additional risks are taken by contractors, including fitness for purpose, costs and briefing. The extent to which contractors recognize these risks and their methods of dealing with them vary considerably and are influenced by their attitudes towards risk. As the risks associated with PBC are seen as large, uninsurable, and vulnerable to changing client requirements, the majority of respondents would reject the use of PBC as a method of contracting. Nevertheless, PBC may be used under particular conditions, where rewards are deemed sufficient to compensate for the additional risk to the contractor of undertaking work on the basis of a stream of payments paid over the life of a structure depending on the satisfactory performance of the building or as part of a private finance initiative.","ISSN":"0144-6193","author":[{"family":"Gruneberg","given":"Stephen"},{"family":"Hughes","given":"Will"},{"family":"Ancell","given":"Debbie"}],"issued":{"date-parts":[["2007"]]},"accessed":{"date-parts":[["2013",5,15]]}}},{"id":174,"uris":["http://zotero.org/users/local/S7r2cPod/items/MEM6BNGI"],"uri":["http://zotero.org/users/local/S7r2cPod/items/MEM6BNGI"],"itemData":{"id":174,"type":"article-journal","title":"Impact of performance-based contracting on product reliability: An empirical analysis","container-title":"Management Science","page":"961-979","volume":"58","issue":"5","source":"mansci.journal.informs.org","ISSN":"0025-1909, 1526-5501","shortTitle":"Impact of Performance-Based Contracting on Product Reliability","journalAbbreviation":"Management Science","language":"en","author":[{"family":"Guajardo","given":"Jose A."},{"family":"Cohen","given":"Morris A."},{"family":"Kim","given":"Sang-Hyun"},{"family":"Netessine","given":"Serguei"}],"issued":{"date-parts":[["2012",2,10]]},"accessed":{"date-parts":[["2013",5,15]]}}},{"id":202,"uris":["http://zotero.org/users/local/S7r2cPod/items/GC6FN3DV"],"uri":["http://zotero.org/users/local/S7r2cPod/items/GC6FN3DV"],"itemData":{"id":202,"type":"article-journal","title":"Contracting for infrequent restoration and recovery of mission-critical systems","container-title":"Management Science","page":"1551-1567","volume":"56","issue":"9","source":"mansci.journal.informs.org","abstract":"Firms that rely on functioning mission-critical equipment for their businesses cannot afford significant operational downtime due to system disruptions. To minimize the impact of disruptions, a proper incentive mechanism has to be in place so that the suppliers provide prompt restoration and recovery services to the customer. A widely adopted incentive mechanism is performance-based contracting (PBC), in which suppliers receive compensation based on realized system uptime. A key obstacle is that disruptions occur infrequently, making it very expensive for a supplier to commit the necessary resources for recovery because they will be idle most of the time. In this paper, we show that designing a successful PBC creates nontrivial challenges that are unique to this environment. Namely, because of the infrequent and random nature of disruptions, a seemingly innocuous choice of performance measures used in contracts may create unexpected incentives, resulting in counterintuitive optimal behavior. We compare the efficiencies of two widely used contracts, one based on sample-average downtime and the other based on cumulative downtime, and identify the supplier's ability to influence the frequency of disruptions as an important factor in determining which contract performs better. We also show that implementing PBC may create high agency cost when equipment is very reliable. This counterintuitive situation arises because the realized downtimes from which the customer might intuit about the supplier's capacity investment are highly uncertain when there are not many samples of downtimes, i.e., when disruptions occur rarely.","ISSN":"0025-1909, 1526-5501","journalAbbreviation":"Management Science","language":"en","author":[{"family":"Kim","given":"Sang-Hyun"},{"family":"Cohen","given":"Morris A."},{"family":"Netessine","given":"Serguei"},{"family":"Veeraraghavan","given":"Senthil"}],"issued":{"date-parts":[["2010",1,9]]},"accessed":{"date-parts":[["2013",5,15]]}}},{"id":248,"uris":["http://zotero.org/users/local/S7r2cPod/items/5TH3CUGD"],"uri":["http://zotero.org/users/local/S7r2cPod/items/5TH3CUGD"],"itemData":{"id":248,"type":"article-journal","title":"Outcome-based service contracts in the defence industry – mitigating the challenges","container-title":"Journal of Service Management","page":"656-674","volume":"21","issue":"5","source":"Emerald Publishing","ISSN":"1757-5818","author":[{"family":"Ng","given":"Irene C. L."},{"family":"Nudurupati","given":"Sai S."}],"issued":{"date-parts":[["2010",10,12]]},"accessed":{"date-parts":[["2013",5,15]]}}}],"schema":"https://github.com/citation-style-language/schema/raw/master/csl-citation.json"}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(Gates et al., 2004)</w:t>
      </w:r>
      <w:r w:rsidRPr="00CC756C">
        <w:rPr>
          <w:rFonts w:cs="Times New Roman"/>
          <w:sz w:val="22"/>
        </w:rPr>
        <w:fldChar w:fldCharType="end"/>
      </w:r>
      <w:r w:rsidR="0038112F">
        <w:rPr>
          <w:rFonts w:cs="Times New Roman"/>
          <w:sz w:val="22"/>
        </w:rPr>
        <w:t xml:space="preserve">. </w:t>
      </w:r>
      <w:r w:rsidRPr="00CC756C">
        <w:rPr>
          <w:rFonts w:cs="Times New Roman"/>
          <w:sz w:val="22"/>
        </w:rPr>
        <w:t>Since attitudes toward risk differ among organizations, we argue that the level of incremental and radical innovation is lower for a risk-averse partner that is being paid for their performance.</w:t>
      </w:r>
      <w:r w:rsidR="0038112F">
        <w:rPr>
          <w:rFonts w:cs="Times New Roman"/>
          <w:sz w:val="22"/>
        </w:rPr>
        <w:t xml:space="preserve"> R</w:t>
      </w:r>
      <w:r w:rsidRPr="00CC756C">
        <w:rPr>
          <w:rFonts w:cs="Times New Roman"/>
          <w:sz w:val="22"/>
        </w:rPr>
        <w:t xml:space="preserve">isk-averse organizations will opt for status-maintaining decisions, and favor solutions that have been proven to work well over higher-risk options </w:t>
      </w:r>
      <w:r w:rsidRPr="00CC756C">
        <w:rPr>
          <w:rFonts w:cs="Times New Roman"/>
          <w:sz w:val="22"/>
        </w:rPr>
        <w:fldChar w:fldCharType="begin"/>
      </w:r>
      <w:r w:rsidRPr="00CC756C">
        <w:rPr>
          <w:rFonts w:cs="Times New Roman"/>
          <w:sz w:val="22"/>
        </w:rPr>
        <w:instrText xml:space="preserve"> ADDIN ZOTERO_ITEM CSL_CITATION {"citationID":"LXI6ioWH","properties":{"formattedCitation":"(Ederer &amp; Manso, 2013)","plainCitation":"(Ederer &amp; Manso, 2013)"},"citationItems":[{"id":463,"uris":["http://zotero.org/users/local/S7r2cPod/items/KPBCGBKR"],"uri":["http://zotero.org/users/local/S7r2cPod/items/KPBCGBKR"],"itemData":{"id":463,"type":"article-journal","title":"Is pay for performance detrimental to innovation?","container-title":"Management Science","page":"1496-1513","volume":"59","issue":"7","source":"mansci.highwire.org","abstract":"Previous research in economics shows that compensation based on the pay-for-performance principle is effective in inducing higher levels of effort and productivity. On the other hand, research in psychology argues that performance-based financial incentives inhibit creativity and innovation. How should managerial compensation be structured if the goal is to induce managers to pursue more innovative business strategies? In a controlled laboratory setting, we provide evidence that the combination of tolerance for early failure and reward for long-term success is effective in motivating innovation. Subjects under such an incentive scheme explore more and are more likely to discover a novel business strategy than subjects under fixed-wage and standard pay-for-performance incentive schemes. We also find evidence that the threat of termination can undermine incentives for innovation, whereas golden parachutes can alleviate these innovation-reducing effects.\nThis paper was accepted by David Hsu, entrepreneurship and innovation.","ISSN":"0025-1909, 1526-5501","journalAbbreviation":"Management Science","language":"en","author":[{"family":"Ederer","given":"Florian"},{"family":"Manso","given":"Gustavo"}],"issued":{"date-parts":[["2013",1,7]]},"accessed":{"date-parts":[["2013",9,11]]}}}],"schema":"https://github.com/citation-style-language/schema/raw/master/csl-citation.json"} </w:instrText>
      </w:r>
      <w:r w:rsidRPr="00CC756C">
        <w:rPr>
          <w:rFonts w:cs="Times New Roman"/>
          <w:sz w:val="22"/>
        </w:rPr>
        <w:fldChar w:fldCharType="separate"/>
      </w:r>
      <w:r w:rsidRPr="00CC756C">
        <w:rPr>
          <w:rFonts w:cs="Times New Roman"/>
          <w:sz w:val="22"/>
        </w:rPr>
        <w:t>(Ederer &amp; Manso, 2013)</w:t>
      </w:r>
      <w:r w:rsidRPr="00CC756C">
        <w:rPr>
          <w:rFonts w:cs="Times New Roman"/>
          <w:sz w:val="22"/>
        </w:rPr>
        <w:fldChar w:fldCharType="end"/>
      </w:r>
      <w:r w:rsidRPr="00CC756C">
        <w:rPr>
          <w:rFonts w:cs="Times New Roman"/>
          <w:sz w:val="22"/>
        </w:rPr>
        <w:t xml:space="preserve">. Therefore, when a risk-averse partner’s payment is linked to their performance, the partner may make conservative decisions and establish greater cost control at the expense of creative freedom. This may result in fewer resources being devoted to innovative activities </w:t>
      </w:r>
      <w:r w:rsidRPr="00CC756C">
        <w:rPr>
          <w:rFonts w:cs="Times New Roman"/>
          <w:sz w:val="22"/>
        </w:rPr>
        <w:fldChar w:fldCharType="begin"/>
      </w:r>
      <w:r w:rsidRPr="00CC756C">
        <w:rPr>
          <w:rFonts w:cs="Times New Roman"/>
          <w:sz w:val="22"/>
        </w:rPr>
        <w:instrText xml:space="preserve"> ADDIN ZOTERO_ITEM CSL_CITATION {"citationID":"1saqgrg4um","properties":{"formattedCitation":"(Bloom &amp; Milkovich, 1998; Makri et al., 2006)","plainCitation":"(Bloom &amp; Milkovich, 1998; Makri et al., 2006)"},"citationItems":[{"id":111,"uris":["http://zotero.org/users/local/S7r2cPod/items/A6FG89TA"],"uri":["http://zotero.org/users/local/S7r2cPod/items/A6FG89TA"],"itemData":{"id":111,"type":"article-journal","title":"Relationships among risk, incentive pay, and organizational performance","container-title":"Academy of Management Journal","page":"283-297","volume":"41","issue":"3","source":"JSTOR","abstract":"In this study, we extended agency-based research by examining the role of risk in the structure of managerial compensation and its relationship to organization performance. Our results suggest that organizations facing higher risk do not place greater emphasis on short-term incentives than other organizations--rather, they place less emphasis on them. Also, higher-risk firms that relied on incentive pay exhibited poorer performance than higher-risk firms that did not emphasize incentive pay.","ISSN":"0001-4273","note":"ArticleType: research-article / Full publication date: Jun., 1998 / Copyright © 1998 Academy of Management","journalAbbreviation":"The Academy of Management Journal","author":[{"family":"Bloom","given":"Matt"},{"family":"Milkovich","given":"George T."}],"issued":{"date-parts":[["1998",6,1]]},"accessed":{"date-parts":[["2013",5,15]]}}},{"id":228,"uris":["http://zotero.org/users/local/S7r2cPod/items/UJG6HVUE"],"uri":["http://zotero.org/users/local/S7r2cPod/items/UJG6HVUE"],"itemData":{"id":228,"type":"article-journal","title":"CEO incentives, innovation, and performance in technology-intensive firms: A reconciliation of outcome and behavior-based incentive schemes","container-title":"Strategic Management Journal","page":"1057–1080","volume":"27","issue":"11","source":"Wiley Online Library","abstract":"Building on the agency view of corporate governance, we propose that technology-intensive firms use both outcome and behavior-based performance criteria for rewarding CEOs. Using a sample of 206 firms from 12 U.S. manufacturing industries, we find that as technological intensity increases CEO bonuses are more closely linked to financial results and that total CEO incentives are associated with two indicators of desirable innovation behaviors: invention resonance and science harvesting. Invention resonance refers to the impact a firm's inventions have on other firms' inventions, while science harvesting reflects a firm's commitment to scientific research. As technological intensity increases, aligning bonus with financial results, total incentives with invention resonance, and total incentives with science harvesting predict firm market performance. Copyright © 2006 John Wiley &amp; Sons, Ltd.","ISSN":"1097-0266","shortTitle":"CEO incentives, innovation, and performance in technology-intensive firms","language":"en","author":[{"family":"Makri","given":"Marianna"},{"family":"Lane","given":"Peter J."},{"family":"Gomez-Mejia","given":"Luis R."}],"issued":{"date-parts":[["2006"]]},"accessed":{"date-parts":[["2013",5,15]]}}}],"schema":"https://github.com/citation-style-language/schema/raw/master/csl-citation.json"} </w:instrText>
      </w:r>
      <w:r w:rsidRPr="00CC756C">
        <w:rPr>
          <w:rFonts w:cs="Times New Roman"/>
          <w:sz w:val="22"/>
        </w:rPr>
        <w:fldChar w:fldCharType="separate"/>
      </w:r>
      <w:r w:rsidRPr="00CC756C">
        <w:rPr>
          <w:rFonts w:cs="Times New Roman"/>
          <w:sz w:val="22"/>
        </w:rPr>
        <w:t>(Bloom &amp; Milkovich, 1998; Makri et al., 2006)</w:t>
      </w:r>
      <w:r w:rsidRPr="00CC756C">
        <w:rPr>
          <w:rFonts w:cs="Times New Roman"/>
          <w:sz w:val="22"/>
        </w:rPr>
        <w:fldChar w:fldCharType="end"/>
      </w:r>
      <w:r w:rsidRPr="00CC756C">
        <w:rPr>
          <w:rFonts w:cs="Times New Roman"/>
          <w:sz w:val="22"/>
        </w:rPr>
        <w:t xml:space="preserve">. </w:t>
      </w:r>
    </w:p>
    <w:p w:rsidR="00CC756C" w:rsidRPr="00CC756C" w:rsidRDefault="00CC756C" w:rsidP="00CC756C">
      <w:pPr>
        <w:autoSpaceDE w:val="0"/>
        <w:autoSpaceDN w:val="0"/>
        <w:adjustRightInd w:val="0"/>
        <w:ind w:firstLine="720"/>
        <w:rPr>
          <w:rFonts w:cs="Times New Roman"/>
          <w:sz w:val="22"/>
        </w:rPr>
      </w:pPr>
      <w:r w:rsidRPr="00CC756C">
        <w:rPr>
          <w:rFonts w:cs="Times New Roman"/>
          <w:sz w:val="22"/>
        </w:rPr>
        <w:t xml:space="preserve">The process of exploiting existing and exploring new knowledge domains for incremental and radical innovation respectively can be expensive and involves commitment of the partner’s assets </w:t>
      </w:r>
      <w:r w:rsidRPr="00CC756C">
        <w:rPr>
          <w:rFonts w:cs="Times New Roman"/>
          <w:sz w:val="22"/>
        </w:rPr>
        <w:fldChar w:fldCharType="begin"/>
      </w:r>
      <w:r w:rsidRPr="00CC756C">
        <w:rPr>
          <w:rFonts w:cs="Times New Roman"/>
          <w:sz w:val="22"/>
        </w:rPr>
        <w:instrText xml:space="preserve"> ADDIN ZOTERO_ITEM CSL_CITATION {"citationID":"1dkoo13esd","properties":{"formattedCitation":"(S. R. Das &amp; Joshi, 2007)","plainCitation":"(S. R. Das &amp; Joshi, 2007)"},"citationItems":[{"id":474,"uris":["http://zotero.org/users/local/S7r2cPod/items/6ET67SB7"],"uri":["http://zotero.org/users/local/S7r2cPod/items/6ET67SB7"],"itemData":{"id":474,"type":"article-journal","title":"Process innovativeness in technology services organizations: Roles of differentiation strategy, operational autonomy and risk-taking propensity","container-title":"Journal of Operations Management","page":"643-660","volume":"25","issue":"3","source":"ScienceDirect","abstract":"This paper examines the effect of differentiation strategy on process innovativeness in technology services organization (TSOs). In addition it examines the direct and moderating effects of two organizational constructs—operational autonomy and risk-taking propensity. Analysis of data from 102 firms in the mid-Atlantic region of the USA indicates that both differentiation strategy and operational autonomy are positively related with process innovativeness, while an organization's risk-taking propensity has no such relationship. In addition, operational autonomy moderates the relationship between differentiation strategy and process innovativeness, while no evidence was found for the moderating effect of risk-taking propensity on this relationship. Further sub-group analysis shows that in TSOs with high levels of operational autonomy, risk-taking propensity has a positive moderating effect on the above relationship. Post hoc analysis also establishes positive links among process innovativeness and firm performance.","ISSN":"0272-6963","shortTitle":"Process innovativeness in technology services organizations","journalAbbreviation":"Journal of Operations Management","author":[{"family":"Das","given":"Sidhartha R."},{"family":"Joshi","given":"Maheshkumar P."}],"issued":{"date-parts":[["2007",4]]},"accessed":{"date-parts":[["2013",9,25]]}}}],"schema":"https://github.com/citation-style-language/schema/raw/master/csl-citation.json"} </w:instrText>
      </w:r>
      <w:r w:rsidRPr="00CC756C">
        <w:rPr>
          <w:rFonts w:cs="Times New Roman"/>
          <w:sz w:val="22"/>
        </w:rPr>
        <w:fldChar w:fldCharType="separate"/>
      </w:r>
      <w:r w:rsidRPr="00CC756C">
        <w:rPr>
          <w:rFonts w:cs="Times New Roman"/>
          <w:sz w:val="22"/>
        </w:rPr>
        <w:t>(Das &amp; Joshi, 2007)</w:t>
      </w:r>
      <w:r w:rsidRPr="00CC756C">
        <w:rPr>
          <w:rFonts w:cs="Times New Roman"/>
          <w:sz w:val="22"/>
        </w:rPr>
        <w:fldChar w:fldCharType="end"/>
      </w:r>
      <w:r w:rsidRPr="00CC756C">
        <w:rPr>
          <w:rFonts w:cs="Times New Roman"/>
          <w:sz w:val="22"/>
        </w:rPr>
        <w:t>. It requires organizations to take risk as innovation may not always result in/ contribute to targeted performance. This is even more the case for radical innovation because it involves a greater risk than incremental innovation. Thus, we suggest that the partner’s degree of risk-aversion has a stronger negative moderation effect on radical than on in</w:t>
      </w:r>
      <w:r w:rsidR="00BC52A2">
        <w:rPr>
          <w:rFonts w:cs="Times New Roman"/>
          <w:sz w:val="22"/>
        </w:rPr>
        <w:t>cremental innovation</w:t>
      </w:r>
      <w:r w:rsidRPr="00CC756C">
        <w:rPr>
          <w:rFonts w:cs="Times New Roman"/>
          <w:sz w:val="22"/>
        </w:rPr>
        <w:t>:</w:t>
      </w:r>
    </w:p>
    <w:p w:rsidR="00CC756C" w:rsidRPr="00CC756C" w:rsidRDefault="00CC756C" w:rsidP="00CC756C">
      <w:pPr>
        <w:autoSpaceDE w:val="0"/>
        <w:autoSpaceDN w:val="0"/>
        <w:adjustRightInd w:val="0"/>
        <w:rPr>
          <w:rFonts w:cs="Times New Roman"/>
          <w:b/>
          <w:i/>
          <w:sz w:val="22"/>
        </w:rPr>
      </w:pPr>
    </w:p>
    <w:p w:rsidR="00CC756C" w:rsidRPr="00CC756C" w:rsidRDefault="00CC756C" w:rsidP="00CC756C">
      <w:pPr>
        <w:autoSpaceDE w:val="0"/>
        <w:autoSpaceDN w:val="0"/>
        <w:adjustRightInd w:val="0"/>
        <w:rPr>
          <w:rFonts w:cs="Times New Roman"/>
          <w:i/>
          <w:sz w:val="22"/>
        </w:rPr>
      </w:pPr>
      <w:r w:rsidRPr="00CC756C">
        <w:rPr>
          <w:rFonts w:cs="Times New Roman"/>
          <w:b/>
          <w:i/>
          <w:sz w:val="22"/>
        </w:rPr>
        <w:t xml:space="preserve">Hypothesis 3A&amp;3B: </w:t>
      </w:r>
      <w:r w:rsidRPr="00CC756C">
        <w:rPr>
          <w:rFonts w:cs="Times New Roman"/>
          <w:i/>
          <w:sz w:val="22"/>
        </w:rPr>
        <w:t>There is a negative moderation effect of the partner’s degree of risk-aversion on the relationship between pay-for-performance and incremental (a) and radical (b) innovation.</w:t>
      </w:r>
    </w:p>
    <w:p w:rsidR="00CC756C" w:rsidRPr="00CC756C" w:rsidRDefault="00CC756C" w:rsidP="00CC756C">
      <w:pPr>
        <w:autoSpaceDE w:val="0"/>
        <w:autoSpaceDN w:val="0"/>
        <w:adjustRightInd w:val="0"/>
        <w:rPr>
          <w:rFonts w:cs="Times New Roman"/>
          <w:i/>
          <w:sz w:val="22"/>
        </w:rPr>
      </w:pPr>
      <w:r w:rsidRPr="00CC756C">
        <w:rPr>
          <w:rFonts w:cs="Times New Roman"/>
          <w:b/>
          <w:i/>
          <w:sz w:val="22"/>
        </w:rPr>
        <w:t>Hypothesis 3C:</w:t>
      </w:r>
      <w:r w:rsidRPr="00CC756C">
        <w:rPr>
          <w:rFonts w:cs="Times New Roman"/>
          <w:i/>
          <w:sz w:val="22"/>
        </w:rPr>
        <w:t xml:space="preserve"> The negative moderation effect of the partner’s degree of risk-aversion is stronger for radical than for incremental innovation.</w:t>
      </w:r>
    </w:p>
    <w:p w:rsidR="00CC756C" w:rsidRPr="00CC756C" w:rsidRDefault="00CC756C" w:rsidP="00CC756C">
      <w:pPr>
        <w:rPr>
          <w:rFonts w:cs="Times New Roman"/>
          <w:sz w:val="22"/>
        </w:rPr>
      </w:pPr>
    </w:p>
    <w:p w:rsidR="00CC756C" w:rsidRPr="00CC756C" w:rsidRDefault="00CC756C" w:rsidP="00CC756C">
      <w:pPr>
        <w:ind w:firstLine="0"/>
        <w:rPr>
          <w:rFonts w:cs="Times New Roman"/>
          <w:sz w:val="22"/>
        </w:rPr>
      </w:pPr>
      <w:r w:rsidRPr="00CC756C">
        <w:rPr>
          <w:rFonts w:cs="Times New Roman"/>
          <w:sz w:val="22"/>
        </w:rPr>
        <w:t>Figure 1 summarizes the hypothesized relationships.</w:t>
      </w:r>
    </w:p>
    <w:p w:rsidR="00CC756C" w:rsidRPr="00CC756C" w:rsidRDefault="00CC756C" w:rsidP="00CC756C">
      <w:pPr>
        <w:autoSpaceDE w:val="0"/>
        <w:autoSpaceDN w:val="0"/>
        <w:adjustRightInd w:val="0"/>
        <w:spacing w:before="120"/>
        <w:jc w:val="center"/>
        <w:rPr>
          <w:rFonts w:cs="Times New Roman"/>
          <w:sz w:val="22"/>
        </w:rPr>
      </w:pPr>
      <w:r w:rsidRPr="00CC756C">
        <w:rPr>
          <w:rFonts w:cs="Times New Roman"/>
          <w:sz w:val="22"/>
        </w:rPr>
        <w:t>----------------------------------</w:t>
      </w:r>
    </w:p>
    <w:p w:rsidR="00CC756C" w:rsidRPr="00CC756C" w:rsidRDefault="00CC756C" w:rsidP="00CC756C">
      <w:pPr>
        <w:autoSpaceDE w:val="0"/>
        <w:autoSpaceDN w:val="0"/>
        <w:adjustRightInd w:val="0"/>
        <w:jc w:val="center"/>
        <w:rPr>
          <w:rFonts w:cs="Times New Roman"/>
          <w:sz w:val="22"/>
        </w:rPr>
      </w:pPr>
      <w:r w:rsidRPr="00CC756C">
        <w:rPr>
          <w:rFonts w:cs="Times New Roman"/>
          <w:sz w:val="22"/>
        </w:rPr>
        <w:t>Insert Figure 1 Here</w:t>
      </w:r>
    </w:p>
    <w:p w:rsidR="00CC756C" w:rsidRPr="00CC756C" w:rsidRDefault="00CC756C" w:rsidP="00CC756C">
      <w:pPr>
        <w:autoSpaceDE w:val="0"/>
        <w:autoSpaceDN w:val="0"/>
        <w:adjustRightInd w:val="0"/>
        <w:spacing w:after="120"/>
        <w:jc w:val="center"/>
        <w:rPr>
          <w:rFonts w:cs="Times New Roman"/>
          <w:sz w:val="22"/>
        </w:rPr>
      </w:pPr>
      <w:r w:rsidRPr="00CC756C">
        <w:rPr>
          <w:rFonts w:cs="Times New Roman"/>
          <w:sz w:val="22"/>
        </w:rPr>
        <w:t>----------------------------------</w:t>
      </w:r>
    </w:p>
    <w:p w:rsidR="00727BE9" w:rsidRPr="008E72A8" w:rsidRDefault="00727BE9" w:rsidP="00727BE9">
      <w:pPr>
        <w:pStyle w:val="Heading1"/>
        <w:rPr>
          <w:sz w:val="22"/>
          <w:szCs w:val="22"/>
        </w:rPr>
      </w:pPr>
      <w:r w:rsidRPr="008E72A8">
        <w:rPr>
          <w:sz w:val="22"/>
          <w:szCs w:val="22"/>
        </w:rPr>
        <w:t>RESEARCH METHODS</w:t>
      </w:r>
    </w:p>
    <w:p w:rsidR="00727BE9" w:rsidRPr="008E72A8" w:rsidRDefault="004D364B" w:rsidP="00727BE9">
      <w:pPr>
        <w:ind w:firstLine="0"/>
        <w:jc w:val="left"/>
        <w:rPr>
          <w:rFonts w:cs="Times New Roman"/>
          <w:i/>
          <w:sz w:val="22"/>
        </w:rPr>
      </w:pPr>
      <w:r w:rsidRPr="008E72A8">
        <w:rPr>
          <w:rFonts w:cs="Times New Roman"/>
          <w:i/>
          <w:sz w:val="22"/>
        </w:rPr>
        <w:t xml:space="preserve">3.1 </w:t>
      </w:r>
      <w:r w:rsidR="00727BE9" w:rsidRPr="008E72A8">
        <w:rPr>
          <w:rFonts w:cs="Times New Roman"/>
          <w:i/>
          <w:sz w:val="22"/>
        </w:rPr>
        <w:t>Sample Selection and Data Collection</w:t>
      </w:r>
    </w:p>
    <w:p w:rsidR="00727BE9" w:rsidRPr="008E72A8" w:rsidRDefault="00727BE9" w:rsidP="00727BE9">
      <w:pPr>
        <w:ind w:firstLine="0"/>
        <w:jc w:val="left"/>
        <w:rPr>
          <w:rFonts w:cs="Times New Roman"/>
          <w:sz w:val="22"/>
        </w:rPr>
      </w:pPr>
      <w:r w:rsidRPr="008E72A8">
        <w:rPr>
          <w:rFonts w:cs="Times New Roman"/>
          <w:sz w:val="22"/>
        </w:rPr>
        <w:t>Data for this study originated from a survey of buyer-seller relationships</w:t>
      </w:r>
      <w:r w:rsidR="0063188D">
        <w:rPr>
          <w:rFonts w:cs="Times New Roman"/>
          <w:sz w:val="22"/>
        </w:rPr>
        <w:t xml:space="preserve">. </w:t>
      </w:r>
      <w:r w:rsidRPr="008E72A8">
        <w:rPr>
          <w:rFonts w:cs="Times New Roman"/>
          <w:sz w:val="22"/>
        </w:rPr>
        <w:t>Based on the results of a pilot test with 74 buying organizations which w</w:t>
      </w:r>
      <w:r w:rsidRPr="00F77CA9">
        <w:rPr>
          <w:rFonts w:cs="Times New Roman"/>
          <w:sz w:val="22"/>
        </w:rPr>
        <w:t>e conducted in different industries to identify in which industries PBCs are used, we concluded that PBCs are often used in the maintenance sector. Data were collected in 2013 using an online survey to measure all variables from the perspectives of both; the buyer (i.e. focal firm) and the seller (i.e. the partner).</w:t>
      </w:r>
      <w:r w:rsidR="00F77CA9" w:rsidRPr="00F77CA9">
        <w:rPr>
          <w:rFonts w:cs="Times New Roman"/>
          <w:sz w:val="22"/>
        </w:rPr>
        <w:t xml:space="preserve"> Note that the responses of the buyer and seller are not linked (i.e. it is not a dyadic relationship study). </w:t>
      </w:r>
      <w:r w:rsidRPr="00F77CA9">
        <w:rPr>
          <w:rFonts w:cs="Times New Roman"/>
          <w:sz w:val="22"/>
        </w:rPr>
        <w:t>Data collection took place by means of an online survey administered through a dedicated website. Sample firms were identified from the list of members of the Dutch Association for Maintenance Services (in Dutch: Nederlandse Vereniging voor Doelmatig Onderhoud, NVDO). The 1700 member organizations are either asset owners (i.e. the buyer of maintenance services) (35%), providers of maintenance services (35%), or consultants (30%), operating in one of six different maintenance sectors (i.e. maintenance in the real estate sector, infrastructure, fleet [excluding passenger cars], proc</w:t>
      </w:r>
      <w:r w:rsidRPr="008E72A8">
        <w:rPr>
          <w:rFonts w:cs="Times New Roman"/>
          <w:sz w:val="22"/>
        </w:rPr>
        <w:t>ess industry, manufacturing, and food, beverage &amp; pharmaceuticals). Asset owners and providers are both well knowledgeable about the aspects of the contract underlying the IOR, we therefore were interested in surveying the 1190 asset owners and providers of maintenance services</w:t>
      </w:r>
      <w:r w:rsidR="0063188D" w:rsidRPr="008E72A8">
        <w:rPr>
          <w:rFonts w:cs="Times New Roman"/>
          <w:sz w:val="22"/>
        </w:rPr>
        <w:t>.</w:t>
      </w:r>
    </w:p>
    <w:p w:rsidR="00727BE9" w:rsidRPr="008E72A8" w:rsidRDefault="00727BE9" w:rsidP="00727BE9">
      <w:pPr>
        <w:ind w:firstLine="720"/>
        <w:jc w:val="left"/>
        <w:rPr>
          <w:rFonts w:cs="Times New Roman"/>
          <w:sz w:val="22"/>
        </w:rPr>
      </w:pPr>
      <w:r w:rsidRPr="008E72A8">
        <w:rPr>
          <w:rFonts w:cs="Times New Roman"/>
          <w:sz w:val="22"/>
        </w:rPr>
        <w:t xml:space="preserve">We contacted the board members of NVDO to obtain their approval and support, and subsequently positioned the research towards members as a joint effort, with the aim of maximizing the response rate. We sent the questionnaire accompanied by an introductory letter explaining the intent of the study, assuring confidentiality, and indicating the preferred survey respondent (i.e. a manager who knows the content of the contract and collaboration). Respondents were first asked to </w:t>
      </w:r>
      <w:r w:rsidRPr="008E72A8">
        <w:rPr>
          <w:rFonts w:cs="Times New Roman"/>
          <w:sz w:val="22"/>
        </w:rPr>
        <w:lastRenderedPageBreak/>
        <w:t>indicate whether they are an asset owner, a maintenance provider or a consultant. Consultant responses were excluded from our analyses.</w:t>
      </w:r>
    </w:p>
    <w:p w:rsidR="00727BE9" w:rsidRPr="008E72A8" w:rsidRDefault="00727BE9" w:rsidP="00727BE9">
      <w:pPr>
        <w:ind w:firstLine="720"/>
        <w:jc w:val="left"/>
        <w:rPr>
          <w:rFonts w:cs="Times New Roman"/>
          <w:sz w:val="22"/>
        </w:rPr>
      </w:pPr>
      <w:r w:rsidRPr="008E72A8">
        <w:rPr>
          <w:rFonts w:cs="Times New Roman"/>
          <w:sz w:val="22"/>
        </w:rPr>
        <w:t xml:space="preserve">Respondents were asked to fill out the questionnaire for one specific service contract, which could be any of three types: fixed price contracts, cost plus contracts, and PBCs </w:t>
      </w:r>
      <w:r w:rsidRPr="008E72A8">
        <w:rPr>
          <w:rFonts w:cs="Times New Roman"/>
          <w:sz w:val="22"/>
        </w:rPr>
        <w:fldChar w:fldCharType="begin"/>
      </w:r>
      <w:r w:rsidRPr="008E72A8">
        <w:rPr>
          <w:rFonts w:cs="Times New Roman"/>
          <w:sz w:val="22"/>
        </w:rPr>
        <w:instrText xml:space="preserve"> ADDIN EN.CITE &lt;EndNote&gt;&lt;Cite&gt;&lt;Author&gt;Kim&lt;/Author&gt;&lt;Year&gt;2007&lt;/Year&gt;&lt;RecNum&gt;1374&lt;/RecNum&gt;&lt;DisplayText&gt;(Kim et al., 2007)&lt;/DisplayText&gt;&lt;record&gt;&lt;rec-number&gt;1374&lt;/rec-number&gt;&lt;foreign-keys&gt;&lt;key app="EN" db-id="29axv22zge9wf9edtz25tr5w9tdf5psxstde"&gt;1374&lt;/key&gt;&lt;/foreign-keys&gt;&lt;ref-type name="Journal Article"&gt;17&lt;/ref-type&gt;&lt;contributors&gt;&lt;authors&gt;&lt;author&gt;Kim, S.&lt;/author&gt;&lt;author&gt;Cohen, M.A.&lt;/author&gt;&lt;author&gt;Netessine, S.&lt;/author&gt;&lt;/authors&gt;&lt;/contributors&gt;&lt;titles&gt;&lt;title&gt;Performance contracting in after-sales service supply chains&lt;/title&gt;&lt;secondary-title&gt;Management Science&lt;/secondary-title&gt;&lt;/titles&gt;&lt;periodical&gt;&lt;full-title&gt;Management Science&lt;/full-title&gt;&lt;/periodical&gt;&lt;pages&gt;1843-1858&lt;/pages&gt;&lt;volume&gt;53&lt;/volume&gt;&lt;number&gt;12&lt;/number&gt;&lt;dates&gt;&lt;year&gt;2007&lt;/year&gt;&lt;/dates&gt;&lt;urls&gt;&lt;/urls&gt;&lt;/record&gt;&lt;/Cite&gt;&lt;/EndNote&gt;</w:instrText>
      </w:r>
      <w:r w:rsidRPr="008E72A8">
        <w:rPr>
          <w:rFonts w:cs="Times New Roman"/>
          <w:sz w:val="22"/>
        </w:rPr>
        <w:fldChar w:fldCharType="separate"/>
      </w:r>
      <w:r w:rsidRPr="008E72A8">
        <w:rPr>
          <w:rFonts w:cs="Times New Roman"/>
          <w:noProof/>
          <w:sz w:val="22"/>
        </w:rPr>
        <w:t>(</w:t>
      </w:r>
      <w:hyperlink w:anchor="_ENREF_45" w:tooltip="Kim, 2007 #1374" w:history="1">
        <w:r w:rsidRPr="008E72A8">
          <w:rPr>
            <w:rFonts w:cs="Times New Roman"/>
            <w:noProof/>
            <w:sz w:val="22"/>
          </w:rPr>
          <w:t>Kim et al., 2007</w:t>
        </w:r>
      </w:hyperlink>
      <w:r w:rsidRPr="008E72A8">
        <w:rPr>
          <w:rFonts w:cs="Times New Roman"/>
          <w:noProof/>
          <w:sz w:val="22"/>
        </w:rPr>
        <w:t>)</w:t>
      </w:r>
      <w:r w:rsidRPr="008E72A8">
        <w:rPr>
          <w:rFonts w:cs="Times New Roman"/>
          <w:sz w:val="22"/>
        </w:rPr>
        <w:fldChar w:fldCharType="end"/>
      </w:r>
      <w:r w:rsidRPr="008E72A8">
        <w:rPr>
          <w:rFonts w:cs="Times New Roman"/>
          <w:sz w:val="22"/>
        </w:rPr>
        <w:t>.</w:t>
      </w:r>
      <w:r w:rsidR="0063188D">
        <w:rPr>
          <w:rFonts w:cs="Times New Roman"/>
          <w:sz w:val="22"/>
        </w:rPr>
        <w:t xml:space="preserve"> </w:t>
      </w:r>
      <w:r w:rsidRPr="008E72A8">
        <w:rPr>
          <w:rFonts w:cs="Times New Roman"/>
          <w:sz w:val="22"/>
        </w:rPr>
        <w:t>Incorporating multiple types of contracts ensures variation in our key variables: e.g., term specificity will be lower for a PBC than for a cost plus contract. We interviewed and pre-tested the survey with eight respondents and researchers in business management of different universities to identify ambiguities in terms, concepts, or issues revealed. Minor changes of wording were made based on their feedback. In addition, we conducted a pilot test of this survey with 74 buying organ</w:t>
      </w:r>
      <w:r w:rsidR="00821ED6" w:rsidRPr="008E72A8">
        <w:rPr>
          <w:rFonts w:cs="Times New Roman"/>
          <w:sz w:val="22"/>
        </w:rPr>
        <w:t>izations</w:t>
      </w:r>
      <w:r w:rsidRPr="008E72A8">
        <w:rPr>
          <w:rFonts w:cs="Times New Roman"/>
          <w:sz w:val="22"/>
        </w:rPr>
        <w:t>.</w:t>
      </w:r>
    </w:p>
    <w:p w:rsidR="00727BE9" w:rsidRPr="008E72A8" w:rsidRDefault="00727BE9" w:rsidP="00727BE9">
      <w:pPr>
        <w:ind w:firstLine="720"/>
        <w:jc w:val="left"/>
        <w:rPr>
          <w:rFonts w:cs="Times New Roman"/>
          <w:sz w:val="22"/>
        </w:rPr>
      </w:pPr>
      <w:r w:rsidRPr="008E72A8">
        <w:rPr>
          <w:rFonts w:cs="Times New Roman"/>
          <w:sz w:val="22"/>
        </w:rPr>
        <w:t>After three reminders, newsletter announcements, an announcement in their printed magazine, and intensively calling memb</w:t>
      </w:r>
      <w:r w:rsidR="0038112F">
        <w:rPr>
          <w:rFonts w:cs="Times New Roman"/>
          <w:sz w:val="22"/>
        </w:rPr>
        <w:t>ers who had not responded yet, 169</w:t>
      </w:r>
      <w:r w:rsidRPr="008E72A8">
        <w:rPr>
          <w:rFonts w:cs="Times New Roman"/>
          <w:sz w:val="22"/>
        </w:rPr>
        <w:t xml:space="preserve"> questionnaires were received, for an overall response rate of </w:t>
      </w:r>
      <w:r w:rsidR="0038112F">
        <w:rPr>
          <w:rFonts w:cs="Times New Roman"/>
          <w:sz w:val="22"/>
        </w:rPr>
        <w:t>14</w:t>
      </w:r>
      <w:r w:rsidRPr="008E72A8">
        <w:rPr>
          <w:rFonts w:cs="Times New Roman"/>
          <w:sz w:val="22"/>
        </w:rPr>
        <w:t>.</w:t>
      </w:r>
      <w:r w:rsidR="0038112F">
        <w:rPr>
          <w:rFonts w:cs="Times New Roman"/>
          <w:sz w:val="22"/>
        </w:rPr>
        <w:t>2</w:t>
      </w:r>
      <w:r w:rsidRPr="008E72A8">
        <w:rPr>
          <w:rFonts w:cs="Times New Roman"/>
          <w:sz w:val="22"/>
        </w:rPr>
        <w:t xml:space="preserve">%. </w:t>
      </w:r>
      <w:r w:rsidR="006E5879">
        <w:rPr>
          <w:rFonts w:cs="Times New Roman"/>
          <w:sz w:val="22"/>
        </w:rPr>
        <w:t>63</w:t>
      </w:r>
      <w:r w:rsidR="00821ED6" w:rsidRPr="008E72A8">
        <w:rPr>
          <w:rFonts w:cs="Times New Roman"/>
          <w:sz w:val="22"/>
        </w:rPr>
        <w:t xml:space="preserve"> responses</w:t>
      </w:r>
      <w:r w:rsidRPr="008E72A8">
        <w:rPr>
          <w:rFonts w:cs="Times New Roman"/>
          <w:sz w:val="22"/>
        </w:rPr>
        <w:t xml:space="preserve"> were discarded due to excessive missing information, resulting in a final usable dataset of 10</w:t>
      </w:r>
      <w:r w:rsidR="006E5879">
        <w:rPr>
          <w:rFonts w:cs="Times New Roman"/>
          <w:sz w:val="22"/>
        </w:rPr>
        <w:t>6</w:t>
      </w:r>
      <w:r w:rsidRPr="008E72A8">
        <w:rPr>
          <w:rFonts w:cs="Times New Roman"/>
          <w:sz w:val="22"/>
        </w:rPr>
        <w:t xml:space="preserve"> responses</w:t>
      </w:r>
      <w:r w:rsidRPr="008E72A8">
        <w:rPr>
          <w:rStyle w:val="CommentReference"/>
          <w:rFonts w:cs="Times New Roman"/>
          <w:sz w:val="22"/>
          <w:szCs w:val="22"/>
        </w:rPr>
        <w:t>.</w:t>
      </w:r>
      <w:r w:rsidRPr="008E72A8">
        <w:rPr>
          <w:rFonts w:cs="Times New Roman"/>
          <w:sz w:val="22"/>
        </w:rPr>
        <w:t xml:space="preserve"> Of these, </w:t>
      </w:r>
      <w:r w:rsidR="006E5879">
        <w:rPr>
          <w:rFonts w:cs="Times New Roman"/>
          <w:sz w:val="22"/>
        </w:rPr>
        <w:t>39</w:t>
      </w:r>
      <w:r w:rsidRPr="008E72A8">
        <w:rPr>
          <w:rFonts w:cs="Times New Roman"/>
          <w:sz w:val="22"/>
        </w:rPr>
        <w:t>.6% are active in the process industry, 19.8% in real estate, 1</w:t>
      </w:r>
      <w:r w:rsidR="006E5879">
        <w:rPr>
          <w:rFonts w:cs="Times New Roman"/>
          <w:sz w:val="22"/>
        </w:rPr>
        <w:t>3</w:t>
      </w:r>
      <w:r w:rsidRPr="008E72A8">
        <w:rPr>
          <w:rFonts w:cs="Times New Roman"/>
          <w:sz w:val="22"/>
        </w:rPr>
        <w:t>.</w:t>
      </w:r>
      <w:r w:rsidR="006E5879">
        <w:rPr>
          <w:rFonts w:cs="Times New Roman"/>
          <w:sz w:val="22"/>
        </w:rPr>
        <w:t>2</w:t>
      </w:r>
      <w:r w:rsidRPr="008E72A8">
        <w:rPr>
          <w:rFonts w:cs="Times New Roman"/>
          <w:sz w:val="22"/>
        </w:rPr>
        <w:t>% in food,</w:t>
      </w:r>
      <w:r w:rsidR="006E5879">
        <w:rPr>
          <w:rFonts w:cs="Times New Roman"/>
          <w:sz w:val="22"/>
        </w:rPr>
        <w:t xml:space="preserve"> beverage, &amp; pharmaceuticals, 11</w:t>
      </w:r>
      <w:r w:rsidRPr="008E72A8">
        <w:rPr>
          <w:rFonts w:cs="Times New Roman"/>
          <w:sz w:val="22"/>
        </w:rPr>
        <w:t>.</w:t>
      </w:r>
      <w:r w:rsidR="006E5879">
        <w:rPr>
          <w:rFonts w:cs="Times New Roman"/>
          <w:sz w:val="22"/>
        </w:rPr>
        <w:t>3</w:t>
      </w:r>
      <w:r w:rsidRPr="008E72A8">
        <w:rPr>
          <w:rFonts w:cs="Times New Roman"/>
          <w:sz w:val="22"/>
        </w:rPr>
        <w:t xml:space="preserve">% in infrastructure, </w:t>
      </w:r>
      <w:r w:rsidR="006E5879">
        <w:rPr>
          <w:rFonts w:cs="Times New Roman"/>
          <w:sz w:val="22"/>
        </w:rPr>
        <w:t>8</w:t>
      </w:r>
      <w:r w:rsidRPr="008E72A8">
        <w:rPr>
          <w:rFonts w:cs="Times New Roman"/>
          <w:sz w:val="22"/>
        </w:rPr>
        <w:t>.</w:t>
      </w:r>
      <w:r w:rsidR="006E5879">
        <w:rPr>
          <w:rFonts w:cs="Times New Roman"/>
          <w:sz w:val="22"/>
        </w:rPr>
        <w:t>5</w:t>
      </w:r>
      <w:r w:rsidRPr="008E72A8">
        <w:rPr>
          <w:rFonts w:cs="Times New Roman"/>
          <w:sz w:val="22"/>
        </w:rPr>
        <w:t xml:space="preserve">% in manufacturing, and finally </w:t>
      </w:r>
      <w:r w:rsidR="006E5879">
        <w:rPr>
          <w:rFonts w:cs="Times New Roman"/>
          <w:sz w:val="22"/>
        </w:rPr>
        <w:t>5</w:t>
      </w:r>
      <w:r w:rsidRPr="008E72A8">
        <w:rPr>
          <w:rFonts w:cs="Times New Roman"/>
          <w:sz w:val="22"/>
        </w:rPr>
        <w:t>.</w:t>
      </w:r>
      <w:r w:rsidR="006E5879">
        <w:rPr>
          <w:rFonts w:cs="Times New Roman"/>
          <w:sz w:val="22"/>
        </w:rPr>
        <w:t>7</w:t>
      </w:r>
      <w:r w:rsidRPr="008E72A8">
        <w:rPr>
          <w:rFonts w:cs="Times New Roman"/>
          <w:sz w:val="22"/>
        </w:rPr>
        <w:t>% are active in the fleet sector. The respondents hold the following func</w:t>
      </w:r>
      <w:r w:rsidR="006E5879">
        <w:rPr>
          <w:rFonts w:cs="Times New Roman"/>
          <w:sz w:val="22"/>
        </w:rPr>
        <w:t>tions: contracting manager (13.2</w:t>
      </w:r>
      <w:r w:rsidRPr="008E72A8">
        <w:rPr>
          <w:rFonts w:cs="Times New Roman"/>
          <w:sz w:val="22"/>
        </w:rPr>
        <w:t>%), director/owner (13.</w:t>
      </w:r>
      <w:r w:rsidR="006E5879">
        <w:rPr>
          <w:rFonts w:cs="Times New Roman"/>
          <w:sz w:val="22"/>
        </w:rPr>
        <w:t>2</w:t>
      </w:r>
      <w:r w:rsidRPr="008E72A8">
        <w:rPr>
          <w:rFonts w:cs="Times New Roman"/>
          <w:sz w:val="22"/>
        </w:rPr>
        <w:t>%), advisor (1</w:t>
      </w:r>
      <w:r w:rsidR="006E5879">
        <w:rPr>
          <w:rFonts w:cs="Times New Roman"/>
          <w:sz w:val="22"/>
        </w:rPr>
        <w:t>2</w:t>
      </w:r>
      <w:r w:rsidRPr="008E72A8">
        <w:rPr>
          <w:rFonts w:cs="Times New Roman"/>
          <w:sz w:val="22"/>
        </w:rPr>
        <w:t>.</w:t>
      </w:r>
      <w:r w:rsidR="006E5879">
        <w:rPr>
          <w:rFonts w:cs="Times New Roman"/>
          <w:sz w:val="22"/>
        </w:rPr>
        <w:t>3</w:t>
      </w:r>
      <w:r w:rsidRPr="008E72A8">
        <w:rPr>
          <w:rFonts w:cs="Times New Roman"/>
          <w:sz w:val="22"/>
        </w:rPr>
        <w:t>%), general manager (1</w:t>
      </w:r>
      <w:r w:rsidR="006E5879">
        <w:rPr>
          <w:rFonts w:cs="Times New Roman"/>
          <w:sz w:val="22"/>
        </w:rPr>
        <w:t>2</w:t>
      </w:r>
      <w:r w:rsidRPr="008E72A8">
        <w:rPr>
          <w:rFonts w:cs="Times New Roman"/>
          <w:sz w:val="22"/>
        </w:rPr>
        <w:t>.</w:t>
      </w:r>
      <w:r w:rsidR="006E5879">
        <w:rPr>
          <w:rFonts w:cs="Times New Roman"/>
          <w:sz w:val="22"/>
        </w:rPr>
        <w:t>3</w:t>
      </w:r>
      <w:r w:rsidRPr="008E72A8">
        <w:rPr>
          <w:rFonts w:cs="Times New Roman"/>
          <w:sz w:val="22"/>
        </w:rPr>
        <w:t>%), maintenance manager (</w:t>
      </w:r>
      <w:r w:rsidR="006E5879">
        <w:rPr>
          <w:rFonts w:cs="Times New Roman"/>
          <w:sz w:val="22"/>
        </w:rPr>
        <w:t>6</w:t>
      </w:r>
      <w:r w:rsidRPr="008E72A8">
        <w:rPr>
          <w:rFonts w:cs="Times New Roman"/>
          <w:sz w:val="22"/>
        </w:rPr>
        <w:t>.</w:t>
      </w:r>
      <w:r w:rsidR="006E5879">
        <w:rPr>
          <w:rFonts w:cs="Times New Roman"/>
          <w:sz w:val="22"/>
        </w:rPr>
        <w:t>6</w:t>
      </w:r>
      <w:r w:rsidRPr="008E72A8">
        <w:rPr>
          <w:rFonts w:cs="Times New Roman"/>
          <w:sz w:val="22"/>
        </w:rPr>
        <w:t>%), operations/production manager (6.</w:t>
      </w:r>
      <w:r w:rsidR="006E5879">
        <w:rPr>
          <w:rFonts w:cs="Times New Roman"/>
          <w:sz w:val="22"/>
        </w:rPr>
        <w:t>6</w:t>
      </w:r>
      <w:r w:rsidRPr="008E72A8">
        <w:rPr>
          <w:rFonts w:cs="Times New Roman"/>
          <w:sz w:val="22"/>
        </w:rPr>
        <w:t>%), engineer (</w:t>
      </w:r>
      <w:r w:rsidR="006E5879">
        <w:rPr>
          <w:rFonts w:cs="Times New Roman"/>
          <w:sz w:val="22"/>
        </w:rPr>
        <w:t>4</w:t>
      </w:r>
      <w:r w:rsidRPr="008E72A8">
        <w:rPr>
          <w:rFonts w:cs="Times New Roman"/>
          <w:sz w:val="22"/>
        </w:rPr>
        <w:t>.</w:t>
      </w:r>
      <w:r w:rsidR="006E5879">
        <w:rPr>
          <w:rFonts w:cs="Times New Roman"/>
          <w:sz w:val="22"/>
        </w:rPr>
        <w:t>7</w:t>
      </w:r>
      <w:r w:rsidRPr="008E72A8">
        <w:rPr>
          <w:rFonts w:cs="Times New Roman"/>
          <w:sz w:val="22"/>
        </w:rPr>
        <w:t>%), purchaser (</w:t>
      </w:r>
      <w:r w:rsidR="006E5879">
        <w:rPr>
          <w:rFonts w:cs="Times New Roman"/>
          <w:sz w:val="22"/>
        </w:rPr>
        <w:t>3.8</w:t>
      </w:r>
      <w:r w:rsidRPr="008E72A8">
        <w:rPr>
          <w:rFonts w:cs="Times New Roman"/>
          <w:sz w:val="22"/>
        </w:rPr>
        <w:t>%), marketing/communication manager (</w:t>
      </w:r>
      <w:r w:rsidR="006E5879">
        <w:rPr>
          <w:rFonts w:cs="Times New Roman"/>
          <w:sz w:val="22"/>
        </w:rPr>
        <w:t>2.8</w:t>
      </w:r>
      <w:r w:rsidRPr="008E72A8">
        <w:rPr>
          <w:rFonts w:cs="Times New Roman"/>
          <w:sz w:val="22"/>
        </w:rPr>
        <w:t>%), and plant manager (</w:t>
      </w:r>
      <w:r w:rsidR="006E5879">
        <w:rPr>
          <w:rFonts w:cs="Times New Roman"/>
          <w:sz w:val="22"/>
        </w:rPr>
        <w:t>1.8%). Furthermore, around 59</w:t>
      </w:r>
      <w:r w:rsidRPr="008E72A8">
        <w:rPr>
          <w:rFonts w:cs="Times New Roman"/>
          <w:sz w:val="22"/>
        </w:rPr>
        <w:t xml:space="preserve">% of the organizations in the sample have </w:t>
      </w:r>
      <w:r w:rsidRPr="008E72A8">
        <w:rPr>
          <w:rFonts w:cs="Times New Roman"/>
          <w:i/>
          <w:sz w:val="22"/>
        </w:rPr>
        <w:t>more than</w:t>
      </w:r>
      <w:r w:rsidRPr="008E72A8">
        <w:rPr>
          <w:rFonts w:cs="Times New Roman"/>
          <w:sz w:val="22"/>
        </w:rPr>
        <w:t xml:space="preserve"> 250 employees and the average revenue of the organizations is around €1,2</w:t>
      </w:r>
      <w:r w:rsidR="006E5879">
        <w:rPr>
          <w:rFonts w:cs="Times New Roman"/>
          <w:sz w:val="22"/>
        </w:rPr>
        <w:t>73</w:t>
      </w:r>
      <w:r w:rsidRPr="008E72A8">
        <w:rPr>
          <w:rFonts w:cs="Times New Roman"/>
          <w:sz w:val="22"/>
        </w:rPr>
        <w:t xml:space="preserve"> mln. On aver</w:t>
      </w:r>
      <w:r w:rsidR="00B62750">
        <w:rPr>
          <w:rFonts w:cs="Times New Roman"/>
          <w:sz w:val="22"/>
        </w:rPr>
        <w:t>age, respondents have 14</w:t>
      </w:r>
      <w:r w:rsidRPr="008E72A8">
        <w:rPr>
          <w:rFonts w:cs="Times New Roman"/>
          <w:sz w:val="22"/>
        </w:rPr>
        <w:t xml:space="preserve"> years of experience in managing relationships with external partners a</w:t>
      </w:r>
      <w:r w:rsidR="00B62750">
        <w:rPr>
          <w:rFonts w:cs="Times New Roman"/>
          <w:sz w:val="22"/>
        </w:rPr>
        <w:t xml:space="preserve">nd they have managed 18 </w:t>
      </w:r>
      <w:r w:rsidRPr="008E72A8">
        <w:rPr>
          <w:rFonts w:cs="Times New Roman"/>
          <w:sz w:val="22"/>
        </w:rPr>
        <w:t>contracts in 2012. These figures suggest a high level of competence of the informants, which suggests that the responses provided should have sufficient quality.</w:t>
      </w:r>
    </w:p>
    <w:p w:rsidR="00727BE9" w:rsidRPr="008E72A8" w:rsidRDefault="00727BE9" w:rsidP="00727BE9">
      <w:pPr>
        <w:ind w:firstLine="720"/>
        <w:jc w:val="left"/>
        <w:rPr>
          <w:rFonts w:cs="Times New Roman"/>
          <w:sz w:val="22"/>
        </w:rPr>
      </w:pPr>
      <w:r w:rsidRPr="008E72A8">
        <w:rPr>
          <w:rFonts w:cs="Times New Roman"/>
          <w:sz w:val="22"/>
        </w:rPr>
        <w:t>To assess potential respondent bias, we compared the responses of early and late responses. We compared characteristics such as e.g., the maintenance sector, function of the respondent</w:t>
      </w:r>
      <w:r w:rsidR="00821ED6" w:rsidRPr="008E72A8">
        <w:rPr>
          <w:rFonts w:cs="Times New Roman"/>
          <w:sz w:val="22"/>
        </w:rPr>
        <w:t xml:space="preserve"> </w:t>
      </w:r>
      <w:r w:rsidRPr="008E72A8">
        <w:rPr>
          <w:rFonts w:cs="Times New Roman"/>
          <w:sz w:val="22"/>
        </w:rPr>
        <w:t xml:space="preserve">and the number of contracts the respondent had managed. </w:t>
      </w:r>
      <w:r w:rsidR="00821ED6" w:rsidRPr="008E72A8">
        <w:rPr>
          <w:rFonts w:cs="Times New Roman"/>
          <w:sz w:val="22"/>
        </w:rPr>
        <w:t>W</w:t>
      </w:r>
      <w:r w:rsidRPr="008E72A8">
        <w:rPr>
          <w:rFonts w:cs="Times New Roman"/>
          <w:sz w:val="22"/>
        </w:rPr>
        <w:t>e also compared the responses to all our independent and dependent variables. The results of the independent samples T-tests showed no significant differences between these g</w:t>
      </w:r>
      <w:r w:rsidR="00821ED6" w:rsidRPr="008E72A8">
        <w:rPr>
          <w:rFonts w:cs="Times New Roman"/>
          <w:sz w:val="22"/>
        </w:rPr>
        <w:t>roups</w:t>
      </w:r>
      <w:r w:rsidRPr="008E72A8">
        <w:rPr>
          <w:rFonts w:cs="Times New Roman"/>
          <w:sz w:val="22"/>
        </w:rPr>
        <w:t xml:space="preserve">, suggesting that non-response bias was not a concern. In addition, the main reason for not completing the survey as indicated by non-respondents during the call-back sessions was lack of time. This also suggests that there are no differences between respondents and non-respondents. </w:t>
      </w:r>
    </w:p>
    <w:p w:rsidR="00727BE9" w:rsidRPr="008E72A8" w:rsidRDefault="00727BE9" w:rsidP="00727BE9">
      <w:pPr>
        <w:jc w:val="left"/>
        <w:rPr>
          <w:rFonts w:cs="Times New Roman"/>
          <w:sz w:val="22"/>
        </w:rPr>
      </w:pPr>
    </w:p>
    <w:p w:rsidR="00727BE9" w:rsidRPr="008E72A8" w:rsidRDefault="004D364B" w:rsidP="00821ED6">
      <w:pPr>
        <w:ind w:firstLine="0"/>
        <w:jc w:val="left"/>
        <w:rPr>
          <w:rFonts w:cs="Times New Roman"/>
          <w:i/>
          <w:sz w:val="22"/>
        </w:rPr>
      </w:pPr>
      <w:r w:rsidRPr="008E72A8">
        <w:rPr>
          <w:rFonts w:cs="Times New Roman"/>
          <w:i/>
          <w:sz w:val="22"/>
        </w:rPr>
        <w:t xml:space="preserve">3.2 </w:t>
      </w:r>
      <w:r w:rsidR="00727BE9" w:rsidRPr="008E72A8">
        <w:rPr>
          <w:rFonts w:cs="Times New Roman"/>
          <w:i/>
          <w:sz w:val="22"/>
        </w:rPr>
        <w:t>Measures</w:t>
      </w:r>
    </w:p>
    <w:p w:rsidR="00727BE9" w:rsidRPr="008E72A8" w:rsidRDefault="00727BE9" w:rsidP="00821ED6">
      <w:pPr>
        <w:ind w:firstLine="0"/>
        <w:jc w:val="left"/>
        <w:rPr>
          <w:rFonts w:cs="Times New Roman"/>
          <w:i/>
          <w:sz w:val="22"/>
        </w:rPr>
      </w:pPr>
      <w:r w:rsidRPr="008E72A8">
        <w:rPr>
          <w:rFonts w:cs="Times New Roman"/>
          <w:sz w:val="22"/>
        </w:rPr>
        <w:t xml:space="preserve">We operationalized the variables using </w:t>
      </w:r>
      <w:r w:rsidR="006E5879">
        <w:rPr>
          <w:rFonts w:cs="Times New Roman"/>
          <w:sz w:val="22"/>
        </w:rPr>
        <w:t xml:space="preserve">single or </w:t>
      </w:r>
      <w:r w:rsidRPr="008E72A8">
        <w:rPr>
          <w:rFonts w:cs="Times New Roman"/>
          <w:sz w:val="22"/>
        </w:rPr>
        <w:t>multi-item reflective measures. See appendix A for the items we used for our key variables. Items were measured using either a 5-point or 7-point Likert-scale ranging from 1 (</w:t>
      </w:r>
      <w:r w:rsidRPr="008E72A8">
        <w:rPr>
          <w:rFonts w:cs="Times New Roman"/>
          <w:i/>
          <w:sz w:val="22"/>
        </w:rPr>
        <w:t>strongly disagree</w:t>
      </w:r>
      <w:r w:rsidRPr="008E72A8">
        <w:rPr>
          <w:rFonts w:cs="Times New Roman"/>
          <w:sz w:val="22"/>
        </w:rPr>
        <w:t>)</w:t>
      </w:r>
      <w:r w:rsidRPr="008E72A8">
        <w:rPr>
          <w:rFonts w:cs="Times New Roman"/>
          <w:i/>
          <w:sz w:val="22"/>
        </w:rPr>
        <w:t xml:space="preserve"> </w:t>
      </w:r>
      <w:r w:rsidRPr="008E72A8">
        <w:rPr>
          <w:rFonts w:cs="Times New Roman"/>
          <w:sz w:val="22"/>
        </w:rPr>
        <w:t>to 5 or 7 (</w:t>
      </w:r>
      <w:r w:rsidRPr="008E72A8">
        <w:rPr>
          <w:rFonts w:cs="Times New Roman"/>
          <w:i/>
          <w:sz w:val="22"/>
        </w:rPr>
        <w:t>strongly agree</w:t>
      </w:r>
      <w:r w:rsidRPr="008E72A8">
        <w:rPr>
          <w:rFonts w:cs="Times New Roman"/>
          <w:sz w:val="22"/>
        </w:rPr>
        <w:t>). All questions were asked to both, asset owners and providers of the maintenance service.</w:t>
      </w:r>
    </w:p>
    <w:p w:rsidR="00727BE9" w:rsidRPr="008E72A8" w:rsidRDefault="00727BE9" w:rsidP="00727BE9">
      <w:pPr>
        <w:ind w:firstLine="720"/>
        <w:jc w:val="left"/>
        <w:rPr>
          <w:rFonts w:cs="Times New Roman"/>
          <w:sz w:val="22"/>
        </w:rPr>
      </w:pPr>
      <w:r w:rsidRPr="008E72A8">
        <w:rPr>
          <w:rFonts w:cs="Times New Roman"/>
          <w:i/>
          <w:sz w:val="22"/>
        </w:rPr>
        <w:t>Radical and Incremental Innovation.</w:t>
      </w:r>
      <w:r w:rsidRPr="008E72A8">
        <w:rPr>
          <w:rFonts w:cs="Times New Roman"/>
          <w:sz w:val="22"/>
        </w:rPr>
        <w:t xml:space="preserve"> Given that we collect our data in the maintenance sector, the survey questions are in the context of service transactions. Note however, we measure both, service and product innovation.</w:t>
      </w:r>
      <w:r w:rsidR="006E5879">
        <w:rPr>
          <w:rFonts w:cs="Times New Roman"/>
          <w:sz w:val="22"/>
        </w:rPr>
        <w:t xml:space="preserve"> </w:t>
      </w:r>
      <w:r w:rsidRPr="008E72A8">
        <w:rPr>
          <w:rFonts w:cs="Times New Roman"/>
          <w:sz w:val="22"/>
        </w:rPr>
        <w:t>Incremental innovation items were developed based on the works of various authors who have</w:t>
      </w:r>
      <w:r w:rsidR="00821ED6" w:rsidRPr="008E72A8">
        <w:rPr>
          <w:rFonts w:cs="Times New Roman"/>
          <w:sz w:val="22"/>
        </w:rPr>
        <w:t xml:space="preserve"> studied incremental innovat</w:t>
      </w:r>
      <w:r w:rsidR="00821ED6" w:rsidRPr="006E5879">
        <w:rPr>
          <w:rFonts w:cs="Times New Roman"/>
          <w:sz w:val="22"/>
        </w:rPr>
        <w:t xml:space="preserve">ion </w:t>
      </w:r>
      <w:r w:rsidR="006E5879" w:rsidRPr="006E5879">
        <w:rPr>
          <w:sz w:val="22"/>
        </w:rPr>
        <w:fldChar w:fldCharType="begin"/>
      </w:r>
      <w:r w:rsidR="006E5879" w:rsidRPr="006E5879">
        <w:rPr>
          <w:sz w:val="22"/>
        </w:rPr>
        <w:instrText xml:space="preserve"> ADDIN ZOTERO_ITEM CSL_CITATION {"citationID":"2q9pnuf7uu","properties":{"formattedCitation":"(Jansen et al., 2006; Koberg, Detienne, &amp; Heppard, 2003)","plainCitation":"(Jansen et al., 2006; Koberg, Detienne, &amp; Heppard, 2003)"},"citationItems":[{"id":555,"uris":["http://zotero.org/users/local/S7r2cPod/items/HU5WUW5I"],"uri":["http://zotero.org/users/local/S7r2cPod/items/HU5WUW5I"],"itemData":{"id":555,"type":"article-journal","title":"Exploratory innovation, exploitative innovation, and performance: Effects of organizational antecedents and environmental moderators","container-title":"Management Science","page":"1661-1674","volume":"52","issue":"11","source":"CrossRef","ISSN":"0025-1909, 1526-5501","shortTitle":"Exploratory Innovation, Exploitative Innovation, and Performance","author":[{"family":"Jansen","given":"Justin J. P."},{"family":"Van Den Bosch","given":"Frans A. J."},{"family":"Volberda","given":"Henk W."}],"issued":{"date-parts":[["2006",11]]},"accessed":{"date-parts":[["2013",11,7]]}}},{"id":520,"uris":["http://zotero.org/users/local/S7r2cPod/items/3AHBCZD6"],"uri":["http://zotero.org/users/local/S7r2cPod/items/3AHBCZD6"],"itemData":{"id":520,"type":"article-journal","title":"An empirical test of environmental, organizational, and process factors affecting incremental and radical innovation","container-title":"The Journal of High Technology Management Research","page":"21-45","volume":"14","issue":"1","source":"ScienceDirect","abstract":"This study examines the influence of environmental, organizational, process, and managerial characteristics on incremental and radical innovation across three industries (aerospace, electronic components, and telecommunications). Results show that different mixes of environmental and organizational variables were significant predictors of incremental and radical innovation. Factors that favor incremental innovation include environmental dynamism, age and size of the firm (although not in the expected direction), intrafirm structural linkages, and the age of the CEO. Factors that favor radical innovation include environmental dynamism, intrafirm linkages, experimentation, and transitioning or sequencing from one project or product to another.","ISSN":"1047-8310","journalAbbreviation":"The Journal of High Technology Management Research","author":[{"family":"Koberg","given":"Christine S"},{"family":"Detienne","given":"Dawn R"},{"family":"Heppard","given":"Kurt A"}],"issued":{"date-parts":[["2003"]]},"accessed":{"date-parts":[["2013",10,25]]}}}],"schema":"https://github.com/citation-style-language/schema/raw/master/csl-citation.json"} </w:instrText>
      </w:r>
      <w:r w:rsidR="006E5879" w:rsidRPr="006E5879">
        <w:rPr>
          <w:sz w:val="22"/>
        </w:rPr>
        <w:fldChar w:fldCharType="separate"/>
      </w:r>
      <w:r w:rsidR="006E5879" w:rsidRPr="006E5879">
        <w:rPr>
          <w:sz w:val="22"/>
        </w:rPr>
        <w:t>(Jansen et al., 2006; Koberg, Detienne, &amp; Heppard, 2003)</w:t>
      </w:r>
      <w:r w:rsidR="006E5879" w:rsidRPr="006E5879">
        <w:rPr>
          <w:sz w:val="22"/>
        </w:rPr>
        <w:fldChar w:fldCharType="end"/>
      </w:r>
      <w:r w:rsidR="006E5879" w:rsidRPr="006E5879">
        <w:rPr>
          <w:sz w:val="22"/>
        </w:rPr>
        <w:t xml:space="preserve"> </w:t>
      </w:r>
      <w:r w:rsidRPr="006E5879">
        <w:rPr>
          <w:rFonts w:cs="Times New Roman"/>
          <w:sz w:val="22"/>
        </w:rPr>
        <w:t xml:space="preserve">and focus on minor changes in existing services and products such as improving the maintenance process. Radical innovation items were developed based on the works of </w:t>
      </w:r>
      <w:r w:rsidRPr="006E5879">
        <w:rPr>
          <w:rFonts w:cs="Times New Roman"/>
          <w:sz w:val="22"/>
        </w:rPr>
        <w:fldChar w:fldCharType="begin"/>
      </w:r>
      <w:r w:rsidRPr="006E5879">
        <w:rPr>
          <w:rFonts w:cs="Times New Roman"/>
          <w:sz w:val="22"/>
        </w:rPr>
        <w:instrText xml:space="preserve"> ADDIN ZOTERO_ITEM CSL_CITATION {"citationID":"1ss0momaa","properties":{"formattedCitation":"(Gallouj &amp; Weinstein, 1997; Hertog, 2000)","plainCitation":"(Gallouj &amp; Weinstein, 1997; Hertog, 2000)"},"citationItems":[{"id":424,"uris":["http://zotero.org/users/local/S7r2cPod/items/953Z5NBI"],"uri":["http://zotero.org/users/local/S7r2cPod/items/953Z5NBI"],"itemData":{"id":424,"type":"article-journal","title":"Innovation in services","container-title":"Research Policy","page":"537-556","volume":"26","issue":"4–5","source":"ScienceDirect","abstract":"The purpose of this article is to lay the foundations of a theory that can be used to interpret innovation processes in the service sector. The hypothesis underpinning this article is based on Lancaster's definition of the product (in both manufacturing and services) as a set of service characteristics [Lancaster, K.J., 1966. A New Approach to Consumer Theory. J. Political Economy 14, 133–156.]. The article follows the example of those who have sought to apply Lancaster's work to technological phenomena. Various modes of innovation in the service sectors are highlighted and illustrated.","ISSN":"0048-7333","journalAbbreviation":"Research Policy","author":[{"family":"Gallouj","given":"Faïz"},{"family":"Weinstein","given":"Olivier"}],"issued":{"date-parts":[["1997",12]]},"accessed":{"date-parts":[["2013",7,8]]}}},{"id":422,"uris":["http://zotero.org/users/local/S7r2cPod/items/MAKCV8U6"],"uri":["http://zotero.org/users/local/S7r2cPod/items/MAKCV8U6"],"itemData":{"id":422,"type":"article-journal","title":"Knowledge-intensive business services as co-producers of innovation","container-title":"International Journal of Innovation Management","page":"491-528","volume":"04","issue":"4","source":"CrossRef","ISSN":"1363-9196, 1757-5877","author":[{"family":"Hertog","given":"Pim Den"}],"issued":{"date-parts":[["2000",12]]},"accessed":{"date-parts":[["2013",7,8]]}}}],"schema":"https://github.com/citation-style-language/schema/raw/master/csl-citation.json"} </w:instrText>
      </w:r>
      <w:r w:rsidRPr="006E5879">
        <w:rPr>
          <w:rFonts w:cs="Times New Roman"/>
          <w:sz w:val="22"/>
        </w:rPr>
        <w:fldChar w:fldCharType="separate"/>
      </w:r>
      <w:r w:rsidRPr="006E5879">
        <w:rPr>
          <w:rFonts w:cs="Times New Roman"/>
          <w:sz w:val="22"/>
        </w:rPr>
        <w:t>Gallouj and Weinstein (1997) and  Hertog (2000)</w:t>
      </w:r>
      <w:r w:rsidRPr="006E5879">
        <w:rPr>
          <w:rFonts w:cs="Times New Roman"/>
          <w:sz w:val="22"/>
        </w:rPr>
        <w:fldChar w:fldCharType="end"/>
      </w:r>
      <w:r w:rsidRPr="006E5879">
        <w:rPr>
          <w:rFonts w:cs="Times New Roman"/>
          <w:sz w:val="22"/>
        </w:rPr>
        <w:t xml:space="preserve"> and focus on, among</w:t>
      </w:r>
      <w:r w:rsidRPr="008E72A8">
        <w:rPr>
          <w:rFonts w:cs="Times New Roman"/>
          <w:sz w:val="22"/>
        </w:rPr>
        <w:t xml:space="preserve"> others, the extent to which the maintenance provider has developed a new service and product/technology and/or a new way of interacting with the client. </w:t>
      </w:r>
    </w:p>
    <w:p w:rsidR="00727BE9" w:rsidRPr="008E72A8" w:rsidRDefault="00727BE9" w:rsidP="00727BE9">
      <w:pPr>
        <w:ind w:firstLine="720"/>
        <w:jc w:val="left"/>
        <w:rPr>
          <w:rFonts w:cs="Times New Roman"/>
          <w:i/>
          <w:sz w:val="22"/>
        </w:rPr>
      </w:pPr>
      <w:r w:rsidRPr="008E72A8">
        <w:rPr>
          <w:rFonts w:cs="Times New Roman"/>
          <w:i/>
          <w:sz w:val="22"/>
        </w:rPr>
        <w:t xml:space="preserve">Term Specificity. </w:t>
      </w:r>
      <w:r w:rsidRPr="008E72A8">
        <w:rPr>
          <w:rFonts w:cs="Times New Roman"/>
          <w:sz w:val="22"/>
        </w:rPr>
        <w:t xml:space="preserve">Based on the items developed by </w:t>
      </w:r>
      <w:r w:rsidRPr="008E72A8">
        <w:rPr>
          <w:rFonts w:cs="Times New Roman"/>
          <w:sz w:val="22"/>
        </w:rPr>
        <w:fldChar w:fldCharType="begin"/>
      </w:r>
      <w:r w:rsidRPr="008E72A8">
        <w:rPr>
          <w:rFonts w:cs="Times New Roman"/>
          <w:sz w:val="22"/>
        </w:rPr>
        <w:instrText xml:space="preserve"> ADDIN ZOTERO_ITEM CSL_CITATION {"citationID":"r8lg74lbv","properties":{"formattedCitation":"(Argyres, Bercovitz, &amp; Mayer, 2007; Mayer, 2006; Ryall &amp; Sampson, 2009)","plainCitation":"(Argyres, Bercovitz, &amp; Mayer, 2007; Mayer, 2006; Ryall &amp; Sampson, 2009)"},"citationItems":[{"id":101,"uris":["http://zotero.org/users/local/S7r2cPod/items/8R2SUCZ3"],"uri":["http://zotero.org/users/local/S7r2cPod/items/8R2SUCZ3"],"itemData":{"id":101,"type":"article-journal","title":"Complementarity and evolution of contractual provisions: An empirical study of IT services contracts","container-title":"Organization Science","page":"3-19","volume":"18","issue":"1","source":"orgsci.journal.informs.org","abstract":"An increasing volume of business activity appears to be occurring via alliances or other interfirm arrangements in which complex contracts are featured, yet there has been relatively little study of contract design in the strategy or management literatures. The economics literature on contracting has been extensive, but it has been less concerned with learning and evolution—phenomena in which strategy and organization scholars are deeply interested. In this paper, we investigate the relationship between two types of contractual provisions that are important in high-technology contracts, or contracts for which environmental uncertainty or technological complexity are significant, namely, contingency planning and task description. Previous research suggests that contracts can vary significantly in the degree of detail with which such key provisions are written, and that they are each subject to learning. In this paper, we find evidence from a sample of 386 contracts that contingency planning and task description behave as complements in contractual design. We argue that this complementarity reflects patterns of learning to contract. We also find that repeated exchange between two firms leads to greater effort at contingency planning in subsequent contracts, a finding that is also consistent with learning effects, but not with frequently made claims that contracts and trust are substitutes.","ISSN":"1047-7039, 1526-5455","shortTitle":"Complementarity and Evolution of Contractual Provisions","journalAbbreviation":"Organization Science","language":"en","author":[{"family":"Argyres","given":"Nicholas"},{"family":"Bercovitz","given":"Janet"},{"family":"Mayer","given":"Kyle J."}],"issued":{"date-parts":[["2007",1,1]]},"accessed":{"date-parts":[["2013",5,15]]}}},{"id":368,"uris":["http://zotero.org/users/local/S7r2cPod/items/ZIM456XJ"],"uri":["http://zotero.org/users/local/S7r2cPod/items/ZIM456XJ"],"itemData":{"id":368,"type":"article-journal","title":"Spillovers and governance: An analysis of knowledge and reputational spillovers in information technology","container-title":"Academy of Management Journal","page":"69-84","volume":"49","issue":"1","source":"amj.aom.org","abstract":"Investigating spillovers (potential costs and benefits to a firm that extend beyond an individual transaction), I integrate transaction cost theory and the knowledge-based view of the firm in an effort to better understand the efficient governance of knowledge. Contracts with detailed task descriptions were associated with transactions with the potential to generate new and reusable knowledge. The risk of a firm's technology spilling over to others and the risk of reputation-impairing spillovers were associated with suppliers using their own employees rather than subcontractors. Thus, results suggest that the creation and protection of knowledge are key factors in understanding governance decisions.","ISSN":"0001-4273, 1948-0989","shortTitle":"Spillovers And Governance","journalAbbreviation":"ACAD MANAGE J","language":"en","author":[{"family":"Mayer","given":"Kyle J."}],"issued":{"date-parts":[["2006",1,2]]},"accessed":{"date-parts":[["2013",6,18]]}}},{"id":365,"uris":["http://zotero.org/users/local/S7r2cPod/items/X5ZSHA52"],"uri":["http://zotero.org/users/local/S7r2cPod/items/X5ZSHA52"],"itemData":{"id":365,"type":"article-journal","title":"Formal contracts in the presence of relational enforcement mechanisms: Evidence from technology development projects","container-title":"Management Science","page":"906-925","volume":"55","issue":"6","source":"mansci.journal.informs.org","abstract":"Formal contracting addresses the moral hazard problems inherent in interfirm deals via explicit terms designed to achieve incentive alignment. Alternatively, when firms expect to interact repeatedly, relational mechanisms may achieve similar results without the associated costs. However, as we now know from a growing body of theoretical and empirical work, the resulting intuition—that relational mechanisms will be substituted for formal ones whenever possible—does not generally hold. The extent to which firms substitute relational mechanisms for formal ones in the presence of repeated interaction is an empirical question that forms the basis of this paper. We study a sample of 52 joint technology development contracts in the telecommunications and microelectronics industries and devise a coding scheme to allow empirical comparison of contract terms. Counter to the above intuition (but consistent with recent research), we find that a firm's contracts are more detailed and more likely to include penalties when it engages in frequent deals (whether with the same or different partners). Our results suggest complementarity between formal and relational contracts, and have implications for optimal contracting, particularly in high technology sectors.","ISSN":"0025-1909, 1526-5501","shortTitle":"Formal Contracts in the Presence of Relational Enforcement Mechanisms","journalAbbreviation":"Management Science","language":"en","author":[{"family":"Ryall","given":"Michael D."},{"family":"Sampson","given":"Rachelle C."}],"issued":{"date-parts":[["2009",1,6]]},"accessed":{"date-parts":[["2013",6,18]]}}}],"schema":"https://github.com/citation-style-language/schema/raw/master/csl-citation.json"} </w:instrText>
      </w:r>
      <w:r w:rsidRPr="008E72A8">
        <w:rPr>
          <w:rFonts w:cs="Times New Roman"/>
          <w:sz w:val="22"/>
        </w:rPr>
        <w:fldChar w:fldCharType="separate"/>
      </w:r>
      <w:r w:rsidRPr="008E72A8">
        <w:rPr>
          <w:rFonts w:cs="Times New Roman"/>
          <w:sz w:val="22"/>
        </w:rPr>
        <w:t>Argyres, Bercovitz, and  Mayer  (2007), Mayer (2006) and Ryall and Sampson (2009)</w:t>
      </w:r>
      <w:r w:rsidRPr="008E72A8">
        <w:rPr>
          <w:rFonts w:cs="Times New Roman"/>
          <w:sz w:val="22"/>
        </w:rPr>
        <w:fldChar w:fldCharType="end"/>
      </w:r>
      <w:r w:rsidRPr="008E72A8">
        <w:rPr>
          <w:rFonts w:cs="Times New Roman"/>
          <w:sz w:val="22"/>
        </w:rPr>
        <w:t xml:space="preserve"> we captured term specificity in three items which e.g., state to what extent the contract prescribes how the partner should develop certain technologies and specific resources should be contributed to the service delivery. </w:t>
      </w:r>
    </w:p>
    <w:p w:rsidR="00727BE9" w:rsidRPr="008E72A8" w:rsidRDefault="00727BE9" w:rsidP="00727BE9">
      <w:pPr>
        <w:ind w:firstLine="720"/>
        <w:jc w:val="left"/>
        <w:rPr>
          <w:rFonts w:cs="Times New Roman"/>
          <w:i/>
          <w:sz w:val="22"/>
        </w:rPr>
      </w:pPr>
      <w:r w:rsidRPr="008E72A8">
        <w:rPr>
          <w:rFonts w:cs="Times New Roman"/>
          <w:i/>
          <w:sz w:val="22"/>
        </w:rPr>
        <w:t xml:space="preserve">Pay-for-performance. </w:t>
      </w:r>
      <w:r w:rsidRPr="008E72A8">
        <w:rPr>
          <w:rFonts w:cs="Times New Roman"/>
          <w:sz w:val="22"/>
        </w:rPr>
        <w:t>We measure pay-for-performance using a six-item scale that measures h</w:t>
      </w:r>
      <w:r w:rsidR="00821ED6" w:rsidRPr="008E72A8">
        <w:rPr>
          <w:rFonts w:cs="Times New Roman"/>
          <w:sz w:val="22"/>
        </w:rPr>
        <w:t>ow the partner is paid</w:t>
      </w:r>
      <w:r w:rsidRPr="008E72A8">
        <w:rPr>
          <w:rFonts w:cs="Times New Roman"/>
          <w:sz w:val="22"/>
        </w:rPr>
        <w:t xml:space="preserve">. Specifically, we ask respondents to state whether the partner is paid based on the performance they deliver rather than the processes and resources they use. The items were adapted from </w:t>
      </w:r>
      <w:r w:rsidRPr="008E72A8">
        <w:rPr>
          <w:rFonts w:cs="Times New Roman"/>
          <w:sz w:val="22"/>
        </w:rPr>
        <w:fldChar w:fldCharType="begin"/>
      </w:r>
      <w:r w:rsidRPr="008E72A8">
        <w:rPr>
          <w:rFonts w:cs="Times New Roman"/>
          <w:sz w:val="22"/>
        </w:rPr>
        <w:instrText xml:space="preserve"> ADDIN ZOTERO_ITEM CSL_CITATION {"citationID":"1qfobvqi3r","properties":{"formattedCitation":"(Jaworski, Stathakopoulos, &amp; Krishnan, 1993)","plainCitation":"(Jaworski, Stathakopoulos, &amp; Krishnan, 1993)"},"citationItems":[{"id":427,"uris":["http://zotero.org/users/local/S7r2cPod/items/5DJSR9CT"],"uri":["http://zotero.org/users/local/S7r2cPod/items/5DJSR9CT"],"itemData":{"id":427,"type":"article-journal","title":"Control combinations in marketing: Conceptual framework and empirical evidence","container-title":"Journal of Marketing","page":"57-69","volume":"57","issue":"1","source":"JSTOR","abstract":"The topic of management control systems has received limited attention in the marketing literature. Though previous research has tended to view each organizational control in isolation, the authors argue that research should examine the simultaneous use of multiple controls. On the basis of previous work, a conceptual framework for combinations of controls is constructed with associated research hypotheses. Four alternative combinations or \"systems\" of controls are identified: (1) a traditional bureaucratic management control system with a primary emphasis on formal controls, (2) a clan system with a primary emphasis on informal controls, (3) a low control system, and (4) a high control system. The findings indicate that SBU characteristics and task complexity variables predict the type of system that is likely to be emphasized. In turn, the results indicate that the high control system is associated with highest job satisfaction followed sequentially by the clan, bureaucratic, and low control systems. The high control system also produced the lowest levels of person-role conflict and ambiguity. No significant relationship is found between the four systems and job performance. Study limitations and directions for future research are discussed.","ISSN":"0022-2429","note":"ArticleType: research-article / Full publication date: Jan., 1993 / Copyright © 1993 American Marketing Association","shortTitle":"Control Combinations in Marketing","journalAbbreviation":"Journal of Marketing","author":[{"family":"Jaworski","given":"Bernard J."},{"family":"Stathakopoulos","given":"Vlasis"},{"family":"Krishnan","given":"H. Shanker"}],"issued":{"date-parts":[["1993",1,1]]},"accessed":{"date-parts":[["2013",7,8]]}}}],"schema":"https://github.com/citation-style-language/schema/raw/master/csl-citation.json"} </w:instrText>
      </w:r>
      <w:r w:rsidRPr="008E72A8">
        <w:rPr>
          <w:rFonts w:cs="Times New Roman"/>
          <w:sz w:val="22"/>
        </w:rPr>
        <w:fldChar w:fldCharType="separate"/>
      </w:r>
      <w:r w:rsidRPr="008E72A8">
        <w:rPr>
          <w:rFonts w:cs="Times New Roman"/>
          <w:sz w:val="22"/>
        </w:rPr>
        <w:t>Jaworski, S</w:t>
      </w:r>
      <w:r w:rsidR="00821ED6" w:rsidRPr="008E72A8">
        <w:rPr>
          <w:rFonts w:cs="Times New Roman"/>
          <w:sz w:val="22"/>
        </w:rPr>
        <w:t xml:space="preserve">tathakopoulos, </w:t>
      </w:r>
      <w:r w:rsidRPr="008E72A8">
        <w:rPr>
          <w:rFonts w:cs="Times New Roman"/>
          <w:sz w:val="22"/>
        </w:rPr>
        <w:t>and Krishnan (1993)</w:t>
      </w:r>
      <w:r w:rsidRPr="008E72A8">
        <w:rPr>
          <w:rFonts w:cs="Times New Roman"/>
          <w:sz w:val="22"/>
        </w:rPr>
        <w:fldChar w:fldCharType="end"/>
      </w:r>
      <w:r w:rsidRPr="008E72A8">
        <w:rPr>
          <w:rFonts w:cs="Times New Roman"/>
          <w:sz w:val="22"/>
        </w:rPr>
        <w:t>.</w:t>
      </w:r>
    </w:p>
    <w:p w:rsidR="0089493A" w:rsidRPr="0089493A" w:rsidRDefault="0089493A" w:rsidP="0089493A">
      <w:pPr>
        <w:ind w:firstLine="720"/>
        <w:rPr>
          <w:sz w:val="22"/>
        </w:rPr>
      </w:pPr>
      <w:r w:rsidRPr="0089493A">
        <w:rPr>
          <w:i/>
          <w:sz w:val="22"/>
        </w:rPr>
        <w:lastRenderedPageBreak/>
        <w:t>Risk-Aversion of the partner.</w:t>
      </w:r>
      <w:r>
        <w:rPr>
          <w:i/>
          <w:sz w:val="22"/>
        </w:rPr>
        <w:t xml:space="preserve"> </w:t>
      </w:r>
      <w:r w:rsidRPr="0089493A">
        <w:rPr>
          <w:sz w:val="22"/>
        </w:rPr>
        <w:t xml:space="preserve">We opted for a single-item measure of the partner’s degree of risk-aversion for three reasons. First, high quality, validated reflective measures of organizational risk-aversion in an IOR context are virtually non-existent. Second, the measures developed by </w:t>
      </w:r>
      <w:r w:rsidRPr="0089493A">
        <w:rPr>
          <w:sz w:val="22"/>
        </w:rPr>
        <w:fldChar w:fldCharType="begin"/>
      </w:r>
      <w:r w:rsidRPr="0089493A">
        <w:rPr>
          <w:sz w:val="22"/>
        </w:rPr>
        <w:instrText xml:space="preserve"> ADDIN ZOTERO_ITEM CSL_CITATION {"citationID":"9flinjgb8","properties":{"formattedCitation":"(Venkatraman, 1989)","plainCitation":"(Venkatraman, 1989)"},"citationItems":[{"id":431,"uris":["http://zotero.org/users/local/S7r2cPod/items/CPG96UPC"],"uri":["http://zotero.org/users/local/S7r2cPod/items/CPG96UPC"],"itemData":{"id":431,"type":"article-journal","title":"Strategic orientation of business enterprises: The construct, dimensionality, and measurement","container-title":"Management Science","page":"942-962","volume":"35","issue":"8","source":"JSTOR","abstract":"This paper reports the results of a research study aimed at conceptualizing and developing valid measurements of key dimensions of a strategy construct-termed Strategic Orientation of Business Enterprises. This construct is first defined by addressing four theoretical questions of scope; hierarchical level; domain; and intentions versus realizations, and then conceptualized in terms of six dimensions. Subsequently, operational indicators are developed for the six dimensions in terms of managerial perceptions across 200 business units in a field study. An evaluation of the measurement properties within an analysis of covariance structures framework indicated that the operational measures developed here largely satisfy the criteria for unidimensionality, convergent, discriminant, and predictive validity. Implications and lines of extensions are outlined.","ISSN":"0025-1909","note":"ArticleType: research-article / Full publication date: Aug., 1989 / Copyright © 1989 INFORMS","shortTitle":"Strategic Orientation of Business Enterprises","journalAbbreviation":"Management Science","author":[{"family":"Venkatraman","given":"N."}],"issued":{"date-parts":[["1989",8,1]]},"accessed":{"date-parts":[["2013",7,8]]}}}],"schema":"https://github.com/citation-style-language/schema/raw/master/csl-citation.json"} </w:instrText>
      </w:r>
      <w:r w:rsidRPr="0089493A">
        <w:rPr>
          <w:sz w:val="22"/>
        </w:rPr>
        <w:fldChar w:fldCharType="separate"/>
      </w:r>
      <w:r w:rsidRPr="0089493A">
        <w:rPr>
          <w:sz w:val="22"/>
        </w:rPr>
        <w:t>Venkatraman (1989)</w:t>
      </w:r>
      <w:r w:rsidRPr="0089493A">
        <w:rPr>
          <w:sz w:val="22"/>
        </w:rPr>
        <w:fldChar w:fldCharType="end"/>
      </w:r>
      <w:r w:rsidRPr="0089493A">
        <w:rPr>
          <w:sz w:val="22"/>
        </w:rPr>
        <w:t xml:space="preserve"> demonstrated weak validity in our pilot test. Third, single-item risk-preference measures have worked well in extant economics and management research </w:t>
      </w:r>
      <w:r w:rsidRPr="0089493A">
        <w:rPr>
          <w:sz w:val="22"/>
        </w:rPr>
        <w:fldChar w:fldCharType="begin"/>
      </w:r>
      <w:r w:rsidRPr="0089493A">
        <w:rPr>
          <w:sz w:val="22"/>
        </w:rPr>
        <w:instrText xml:space="preserve"> ADDIN ZOTERO_ITEM CSL_CITATION {"citationID":"NU7jQSEn","properties":{"formattedCitation":"(Dohmen et al., 2011; Pennings &amp; Garcia, 2001)","plainCitation":"(Dohmen et al., 2011; Pennings &amp; Garcia, 2001)"},"citationItems":[{"id":611,"uris":["http://zotero.org/users/local/S7r2cPod/items/EMT4WR4X"],"uri":["http://zotero.org/users/local/S7r2cPod/items/EMT4WR4X"],"itemData":{"id":611,"type":"article-journal","title":"Individual risk attitudes: Measurement, determinants, and behavioral consequences","container-title":"Journal of the European Economic Association","page":"522–550","volume":"9","issue":"3","source":"Wiley Online Library","abstract":"This paper studies risk attitudes using a large representative survey and a complementary experiment conducted with a representative subject pool in subjects' homes. Using a question asking people about their willingness to take risks “in general”, we find that gender, age, height, and parental background have an economically significant impact on willingness to take risks. The experiment confirms the behavioral validity of this measure, using paid lottery choices. Turning to other questions about risk attitudes in specific contexts, we find similar results on the determinants of risk attitudes, and also shed light on the deeper question of stability of risk attitudes across contexts. We conduct a horse race of the ability of different measures to explain risky behaviors such as holdings stocks, occupational choice, and smoking. The question about risk taking in general generates the best all-round predictor of risky behavior.","ISSN":"1542-4774","shortTitle":"Individual Risk Attitudes","language":"en","author":[{"family":"Dohmen","given":"Thomas"},{"family":"Falk","given":"Armin"},{"family":"Huffman","given":"David"},{"family":"Sunde","given":"Uwe"},{"family":"Schupp","given":"Jürgen"},{"family":"Wagner","given":"Gert G."}],"issued":{"date-parts":[["2011"]]},"accessed":{"date-parts":[["2014",2,14]]}}},{"id":557,"uris":["http://zotero.org/users/local/S7r2cPod/items/4VSC9Q2F"],"uri":["http://zotero.org/users/local/S7r2cPod/items/4VSC9Q2F"],"itemData":{"id":557,"type":"article-journal","title":"Measuring producers' Rrsk preferences: A global risk-attitude construct","container-title":"American Journal of Agricultural Economics","page":"993-1009","volume":"83","issue":"4","source":"RePEc - Econpapers","abstract":"In applied agricultural economic research various risk-attitude elicitation techniques are used. Here, we investigate whether risk-attitude measures rooted in the expected utility framework are related to measures rooted in the multi-item scale framework. Using a second-order factor analytical model, and data obtained from personal computer-guided interviews with 373 farmers, we investigate whether the common variance among the (latent) risk-attitude measures can be accounted for by a global risk-attitude construct. We find that the different risk-attitude measures are related, and that the global risk-attitude construct is significantly related to farmers' intention to use futures contracts. Our research suggests that farmers' risk attitude is a higher-order characteristic that cannot be effectively extracted by a single measure. Copyright 2001, Oxford University Press.","shortTitle":"Measuring Producers' Risk Preferences","author":[{"family":"Pennings","given":"Joost M. E."},{"family":"Garcia","given":"Philip"}],"issued":{"date-parts":[["2001"]]},"accessed":{"date-parts":[["2014",1,14]],"season":"14:12:26"}}}],"schema":"https://github.com/citation-style-language/schema/raw/master/csl-citation.json"} </w:instrText>
      </w:r>
      <w:r w:rsidRPr="0089493A">
        <w:rPr>
          <w:sz w:val="22"/>
        </w:rPr>
        <w:fldChar w:fldCharType="separate"/>
      </w:r>
      <w:r w:rsidRPr="0089493A">
        <w:rPr>
          <w:sz w:val="22"/>
        </w:rPr>
        <w:t>(Dohmen et al., 2011; Pennings &amp; Garcia, 2001)</w:t>
      </w:r>
      <w:r w:rsidRPr="0089493A">
        <w:rPr>
          <w:sz w:val="22"/>
        </w:rPr>
        <w:fldChar w:fldCharType="end"/>
      </w:r>
      <w:r w:rsidRPr="0089493A">
        <w:rPr>
          <w:sz w:val="22"/>
        </w:rPr>
        <w:t>. Our final measure captured</w:t>
      </w:r>
      <w:r>
        <w:rPr>
          <w:sz w:val="22"/>
        </w:rPr>
        <w:t xml:space="preserve"> </w:t>
      </w:r>
      <w:r w:rsidRPr="0089493A">
        <w:rPr>
          <w:sz w:val="22"/>
        </w:rPr>
        <w:t xml:space="preserve">the degree to which the </w:t>
      </w:r>
      <w:r w:rsidRPr="0089493A">
        <w:rPr>
          <w:rFonts w:eastAsia="Times New Roman"/>
          <w:color w:val="000000"/>
          <w:sz w:val="22"/>
        </w:rPr>
        <w:t>partner prefers to follow the ‘tried and true’ paths</w:t>
      </w:r>
      <w:r w:rsidRPr="0089493A">
        <w:rPr>
          <w:sz w:val="22"/>
        </w:rPr>
        <w:t>. The higher the score, the more risk-averse the partner is.</w:t>
      </w:r>
    </w:p>
    <w:p w:rsidR="00727BE9" w:rsidRPr="008E72A8" w:rsidRDefault="00727BE9" w:rsidP="00727BE9">
      <w:pPr>
        <w:ind w:firstLine="720"/>
        <w:jc w:val="left"/>
        <w:rPr>
          <w:rFonts w:cs="Times New Roman"/>
          <w:i/>
          <w:sz w:val="22"/>
        </w:rPr>
      </w:pPr>
      <w:r w:rsidRPr="008E72A8">
        <w:rPr>
          <w:rFonts w:cs="Times New Roman"/>
          <w:i/>
          <w:sz w:val="22"/>
        </w:rPr>
        <w:t xml:space="preserve">Control variables. </w:t>
      </w:r>
      <w:r w:rsidRPr="008E72A8">
        <w:rPr>
          <w:rFonts w:cs="Times New Roman"/>
          <w:sz w:val="22"/>
        </w:rPr>
        <w:t xml:space="preserve">First, firm size can influence both types of innovation because different firm sizes exhibit different organizational characteristics and resource deployment </w:t>
      </w:r>
      <w:r w:rsidRPr="008E72A8">
        <w:rPr>
          <w:rFonts w:cs="Times New Roman"/>
          <w:sz w:val="22"/>
        </w:rPr>
        <w:fldChar w:fldCharType="begin"/>
      </w:r>
      <w:r w:rsidRPr="008E72A8">
        <w:rPr>
          <w:rFonts w:cs="Times New Roman"/>
          <w:sz w:val="22"/>
        </w:rPr>
        <w:instrText xml:space="preserve"> ADDIN ZOTERO_ITEM CSL_CITATION {"citationID":"r0gp5dul2","properties":{"formattedCitation":"(Wang et al., 2011)","plainCitation":"(Wang et al., 2011)"},"citationItems":[{"id":75,"uris":["http://zotero.org/users/local/S7r2cPod/items/93V74HQJ"],"uri":["http://zotero.org/users/local/S7r2cPod/items/93V74HQJ"],"itemData":{"id":75,"type":"article-journal","title":"The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8E72A8">
        <w:rPr>
          <w:rFonts w:cs="Times New Roman"/>
          <w:sz w:val="22"/>
        </w:rPr>
        <w:fldChar w:fldCharType="separate"/>
      </w:r>
      <w:r w:rsidRPr="008E72A8">
        <w:rPr>
          <w:rFonts w:cs="Times New Roman"/>
          <w:sz w:val="22"/>
        </w:rPr>
        <w:t>(Wang et al., 2011)</w:t>
      </w:r>
      <w:r w:rsidRPr="008E72A8">
        <w:rPr>
          <w:rFonts w:cs="Times New Roman"/>
          <w:sz w:val="22"/>
        </w:rPr>
        <w:fldChar w:fldCharType="end"/>
      </w:r>
      <w:r w:rsidRPr="008E72A8">
        <w:rPr>
          <w:rFonts w:cs="Times New Roman"/>
          <w:sz w:val="22"/>
        </w:rPr>
        <w:t xml:space="preserve">. Firm size was measured by using the number of employees of the organization. Second, trust </w:t>
      </w:r>
      <w:r w:rsidR="00780DA9" w:rsidRPr="008E72A8">
        <w:rPr>
          <w:rFonts w:cs="Times New Roman"/>
          <w:sz w:val="22"/>
        </w:rPr>
        <w:t>s</w:t>
      </w:r>
      <w:r w:rsidRPr="008E72A8">
        <w:rPr>
          <w:rFonts w:cs="Times New Roman"/>
          <w:sz w:val="22"/>
        </w:rPr>
        <w:t>timulate</w:t>
      </w:r>
      <w:r w:rsidR="00780DA9" w:rsidRPr="008E72A8">
        <w:rPr>
          <w:rFonts w:cs="Times New Roman"/>
          <w:sz w:val="22"/>
        </w:rPr>
        <w:t xml:space="preserve">s </w:t>
      </w:r>
      <w:r w:rsidRPr="008E72A8">
        <w:rPr>
          <w:rFonts w:cs="Times New Roman"/>
          <w:sz w:val="22"/>
        </w:rPr>
        <w:t xml:space="preserve">innovation </w:t>
      </w:r>
      <w:r w:rsidRPr="008E72A8">
        <w:rPr>
          <w:rFonts w:cs="Times New Roman"/>
          <w:sz w:val="22"/>
        </w:rPr>
        <w:fldChar w:fldCharType="begin"/>
      </w:r>
      <w:r w:rsidR="00F34E52" w:rsidRPr="008E72A8">
        <w:rPr>
          <w:rFonts w:cs="Times New Roman"/>
          <w:sz w:val="22"/>
        </w:rPr>
        <w:instrText xml:space="preserve"> ADDIN ZOTERO_ITEM CSL_CITATION {"citationID":"1alocjom4b","properties":{"formattedCitation":"(Dovey, 2009; Nielsen &amp; Nielsen, 2009; Wang et al., 2011)","plainCitation":"(Dovey, 2009; Nielsen &amp; Nielsen, 2009; Wang et al., 2011)"},"citationItems":[{"id":145,"uris":["http://zotero.org/users/local/S7r2cPod/items/FIC6JN8D"],"uri":["http://zotero.org/users/local/S7r2cPod/items/FIC6JN8D"],"itemData":{"id":145,"type":"article-journal","title":"The role of trust in innovation","container-title":"The Learning Organization","page":"311-325","volume":"16","issue":"4","source":"Emerald Publishing","ISSN":"0969-6474","author":[{"family":"Dovey","given":"Ken"}],"issued":{"date-parts":[["2009",5,29]]},"accessed":{"date-parts":[["2013",5,15]]}}},{"id":53,"uris":["http://zotero.org/users/local/S7r2cPod/items/KJME8JWX"],"uri":["http://zotero.org/users/local/S7r2cPod/items/KJME8JWX"],"itemData":{"id":53,"type":"article-journal","title":"Learning and innovation in international strategic alliances: An empirical test of the role of trust and tacitness","container-title":"Journal of Management Studies","page":"1031–1056","volume":"46","issue":"6","source":"Wiley Online Library","abstract":"Drawing on knowledge-based, organizational learning, and social capital perspectives, we propose and test an integrated framework in which knowledge tacitness and trust act as mediating mechanisms in the relationship between partner characteristics and alliance outcomes. We distinguish between learning and innovation outcomes and suggest that while innovation may result from alliance learning, it can also be created by combining separate knowledge bases without learning from each other. We contend that tacitness and trust play differing roles in the pursuit of learning and innovation and test this proposition on a sample of 120 international strategic alliances.","ISSN":"1467-6486","shortTitle":"Learning and Innovation in International Strategic Alliances","language":"en","author":[{"family":"Nielsen","given":"Bo Bernhard"},{"family":"Nielsen","given":"Sabina"}],"issued":{"date-parts":[["2009"]]},"accessed":{"date-parts":[["2013",5,15]]}}},{"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8E72A8">
        <w:rPr>
          <w:rFonts w:cs="Times New Roman"/>
          <w:sz w:val="22"/>
        </w:rPr>
        <w:fldChar w:fldCharType="separate"/>
      </w:r>
      <w:r w:rsidR="00702B6B" w:rsidRPr="008E72A8">
        <w:rPr>
          <w:rFonts w:cs="Times New Roman"/>
          <w:sz w:val="22"/>
        </w:rPr>
        <w:t>(</w:t>
      </w:r>
      <w:r w:rsidRPr="008E72A8">
        <w:rPr>
          <w:rFonts w:cs="Times New Roman"/>
          <w:sz w:val="22"/>
        </w:rPr>
        <w:t>Wang et al., 2011)</w:t>
      </w:r>
      <w:r w:rsidRPr="008E72A8">
        <w:rPr>
          <w:rFonts w:cs="Times New Roman"/>
          <w:sz w:val="22"/>
        </w:rPr>
        <w:fldChar w:fldCharType="end"/>
      </w:r>
      <w:r w:rsidR="00780DA9" w:rsidRPr="008E72A8">
        <w:rPr>
          <w:rFonts w:cs="Times New Roman"/>
          <w:sz w:val="22"/>
        </w:rPr>
        <w:t>. T</w:t>
      </w:r>
      <w:r w:rsidRPr="008E72A8">
        <w:rPr>
          <w:rFonts w:cs="Times New Roman"/>
          <w:color w:val="000000"/>
          <w:sz w:val="22"/>
        </w:rPr>
        <w:t xml:space="preserve">he interaction among parties who have trust in each other will be more informal, leading to the creation and sharing of existing and/or new knowledge that could result in innovation </w:t>
      </w:r>
      <w:r w:rsidRPr="008E72A8">
        <w:rPr>
          <w:rFonts w:cs="Times New Roman"/>
          <w:color w:val="000000"/>
          <w:sz w:val="22"/>
        </w:rPr>
        <w:fldChar w:fldCharType="begin"/>
      </w:r>
      <w:r w:rsidRPr="008E72A8">
        <w:rPr>
          <w:rFonts w:cs="Times New Roman"/>
          <w:color w:val="000000"/>
          <w:sz w:val="22"/>
        </w:rPr>
        <w:instrText xml:space="preserve"> ADDIN ZOTERO_ITEM CSL_CITATION {"citationID":"1cj9qae38l","properties":{"formattedCitation":"(Im &amp; Rai, 2008; Wang et al., 2011)","plainCitation":"(Im &amp; Rai, 2008; Wang et al., 2011)"},"citationItems":[{"id":193,"uris":["http://zotero.org/users/local/S7r2cPod/items/6MMIER23"],"uri":["http://zotero.org/users/local/S7r2cPod/items/6MMIER23"],"itemData":{"id":193,"type":"article-journal","title":"Knowledge sharing ambidexterity in long-term interorganizational relationships","container-title":"Management Science","page":"1281-1296","volume":"54","issue":"7","source":"mansci.journal.informs.org","abstract":"Although past research has investigated the impact of exploration and exploitation on firm performance, there is limited research on these effects in interorganizational relationships. We examine whether the boundary condition for ambidextrous learning can be extended from firms to long-term interorganizational relationships. Specifically, we focus on a particular aspect of learning—namely, explorative and exploitative knowledge sharing—and examine its impact on the performance of long-term relationships. We also theorize how ambidextrous management of the relationship and ontological commitment to span the syntactic, semantic, and pragmatic knowledge boundaries between partners enable knowledge sharing. Our theoretical predictions are tested using data collected from both account managers at customer firms responsible for the relationship with a leading supply chain vendor and account managers at the vendor firm responsible for relationships with customers. The findings suggest that both exploratory and exploitative knowledge sharing lead to relationship performance gains, that such sharing is enabled by the ambidextrous management of the relationship, and that such sharing is facilitated by ontological commitment. Interesting differences in the enablers and consequences of both forms of knowledge sharing are detected between customers and the vendor.","ISSN":"0025-1909, 1526-5501","journalAbbreviation":"Management Science","language":"en","author":[{"family":"Im","given":"Ghiyoung"},{"family":"Rai","given":"Arun"}],"issued":{"date-parts":[["2008",1,7]]},"accessed":{"date-parts":[["2013",5,15]]}}},{"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8E72A8">
        <w:rPr>
          <w:rFonts w:cs="Times New Roman"/>
          <w:color w:val="000000"/>
          <w:sz w:val="22"/>
        </w:rPr>
        <w:fldChar w:fldCharType="separate"/>
      </w:r>
      <w:r w:rsidR="00780DA9" w:rsidRPr="008E72A8">
        <w:rPr>
          <w:rFonts w:cs="Times New Roman"/>
          <w:sz w:val="22"/>
        </w:rPr>
        <w:t>(Im &amp; Rai, 2008</w:t>
      </w:r>
      <w:r w:rsidRPr="008E72A8">
        <w:rPr>
          <w:rFonts w:cs="Times New Roman"/>
          <w:sz w:val="22"/>
        </w:rPr>
        <w:t>)</w:t>
      </w:r>
      <w:r w:rsidRPr="008E72A8">
        <w:rPr>
          <w:rFonts w:cs="Times New Roman"/>
          <w:color w:val="000000"/>
          <w:sz w:val="22"/>
        </w:rPr>
        <w:fldChar w:fldCharType="end"/>
      </w:r>
      <w:r w:rsidRPr="008E72A8">
        <w:rPr>
          <w:rFonts w:cs="Times New Roman"/>
          <w:sz w:val="22"/>
        </w:rPr>
        <w:t xml:space="preserve">. Based on validated items used in previous research, we measure trust using a nine-item scale which captures contractual, goodwill and competence trust </w:t>
      </w:r>
      <w:r w:rsidRPr="008E72A8">
        <w:rPr>
          <w:rFonts w:cs="Times New Roman"/>
          <w:sz w:val="22"/>
        </w:rPr>
        <w:fldChar w:fldCharType="begin"/>
      </w:r>
      <w:r w:rsidRPr="008E72A8">
        <w:rPr>
          <w:rFonts w:cs="Times New Roman"/>
          <w:sz w:val="22"/>
        </w:rPr>
        <w:instrText xml:space="preserve"> ADDIN ZOTERO_ITEM CSL_CITATION {"citationID":"6hdgcf3c5","properties":{"formattedCitation":"(Aulakh, Kotabe, &amp; Sahay, 1996; Green, 2003; Lui &amp; Ngo, 2004)","plainCitation":"(Aulakh, Kotabe, &amp; Sahay, 1996; Green, 2003; Lui &amp; Ngo, 2004)"},"citationItems":[{"id":455,"uris":["http://zotero.org/users/local/S7r2cPod/items/7MJGCKAJ"],"uri":["http://zotero.org/users/local/S7r2cPod/items/7MJGCKAJ"],"itemData":{"id":455,"type":"article-journal","title":"Trust and performance in cross-border marketing partnerships: A behavioral approach","container-title":"Journal of International Business Studies","page":"1005-1032","volume":"27","issue":"5","source":"JSTOR","abstract":"Existing research on international partnerships focuses primarily on the ex ante structuring of interorganizational relationships. This study departs from this research by taking a behavioral approach to understand the ex post maintenance of cross-border marketing partnerships. A conceptual model is developed by identifying the antecedents of trust and performance in such partnerships. The model is empirically tested on a sample of U.S. firms having distributor and licensing relationships with firms from Asia, Europe, and Central/South America. Findings support the importance of bilateral relational norms and informal monitoring mechanisms in building interorganizational trust and improving market performance of international partnerships.","ISSN":"0047-2506","note":"ArticleType: research-article / Issue Title: Global Perspectives on Cooperative Strategies / Full publication date: 1996 / Copyright © 1996 Palgrave Macmillan Journals","shortTitle":"Trust and Performance in Cross-Border Marketing Partnerships","journalAbbreviation":"Journal of International Business Studies","author":[{"family":"Aulakh","given":"Preet S."},{"family":"Kotabe","given":"Masaaki"},{"family":"Sahay","given":"Arvind"}],"issued":{"date-parts":[["1996",1,1]]},"accessed":{"date-parts":[["2013",8,27]]}}},{"id":457,"uris":["http://zotero.org/users/local/S7r2cPod/items/MXI364UJ"],"uri":["http://zotero.org/users/local/S7r2cPod/items/MXI364UJ"],"itemData":{"id":457,"type":"article-journal","title":"Measuring goodwill trust between groups of people: Three years of an oil industry alliance","container-title":"Strategic Change","page":"367–379","volume":"12","issue":"7","source":"Wiley Online Library","abstract":"* The period from 1993 to 1998 saw the UK's upstream oil and gas industry move towards more collaborative relationships (partnering and alliances) between the oil companies and their contractors. * This paper is derived from observation over three years of an alliance between an oil company and five of its contractors involved in underwater projects. * The paper uses concepts of ‘goodwill trust’ and ‘obligational contractual relationships’ which have been introduced by Sako. The ideals of obligational contractual relationships are very similar to those of the collaborative relationships between companies in the UK upstream oil and gas industry in the 1990s. * Attitude surveys of members of the alliance in three consecutive years attempted to estimate the levels of goodwill trust between the people and companies in it. * It would be expected that trust levels within an alliance would rise over time as people gain experience of working with each other. Analysis of the results from the survey did show an overall increase in goodwill trust over the period but also showed some company pairs where trust levels remained low. * The paper speculates that the reasons for reduced levels of trust could include: the experiences inherited from previous relationships, project successes or failures affecting the way people felt about each other, perceived lack of fairness in allocation of risks and rewards, and changes in senior management.Copyright © 2003 John Wiley &amp; Sons, Ltd.","ISSN":"1099-1697","shortTitle":"Measuring goodwill trust between groups of people","language":"en","author":[{"family":"Green","given":"Richard"}],"issued":{"date-parts":[["2003"]]},"accessed":{"date-parts":[["2013",8,27]]}}},{"id":327,"uris":["http://zotero.org/users/local/S7r2cPod/items/H5K9U4V9"],"uri":["http://zotero.org/users/local/S7r2cPod/items/H5K9U4V9"],"itemData":{"id":327,"type":"article-journal","title":"The role of trust and contractual safeguards on cooperation in non-equity alliances","container-title":"Journal of Management","page":"471-485","volume":"30","issue":"4","source":"jom.sagepub.com","abstract":"Because partners may behave opportunistically in alliances, contractual safeguards or trust between partners are necessary for successful outcomes. However, it remains controversial whether safeguards and trust substitute or complement each other. Drawing on transaction cost theory, this study conceptualizes both contractual safeguards and trust as important control mechanisms in non-equity alliances, and develops a model that relates contractual safeguards and trust to cooperative outcomes. We test our hypotheses with data collected from 233 architect–contractor partnerships in Hong Kong. The results show that the relationship between contractual safeguards and cooperative outcomes depends on both the level and type of trust.","ISSN":"0149-2063, 1557-1211","journalAbbreviation":"Journal of Management","language":"en","author":[{"family":"Lui","given":"Steven S."},{"family":"Ngo","given":"Hang-Yue"}],"issued":{"date-parts":[["2004",1,8]]},"accessed":{"date-parts":[["2013",6,11]]}}}],"schema":"https://github.com/citation-style-language/schema/raw/master/csl-citation.json"} </w:instrText>
      </w:r>
      <w:r w:rsidRPr="008E72A8">
        <w:rPr>
          <w:rFonts w:cs="Times New Roman"/>
          <w:sz w:val="22"/>
        </w:rPr>
        <w:fldChar w:fldCharType="separate"/>
      </w:r>
      <w:r w:rsidRPr="008E72A8">
        <w:rPr>
          <w:rFonts w:cs="Times New Roman"/>
          <w:sz w:val="22"/>
        </w:rPr>
        <w:t>(Aulakh, Kotabe, &amp; Sahay, 1996; Green, 2003; Lui &amp; Ngo, 2004)</w:t>
      </w:r>
      <w:r w:rsidRPr="008E72A8">
        <w:rPr>
          <w:rFonts w:cs="Times New Roman"/>
          <w:sz w:val="22"/>
        </w:rPr>
        <w:fldChar w:fldCharType="end"/>
      </w:r>
      <w:r w:rsidRPr="008E72A8">
        <w:rPr>
          <w:rFonts w:cs="Times New Roman"/>
          <w:sz w:val="22"/>
        </w:rPr>
        <w:t xml:space="preserve">. </w:t>
      </w:r>
      <w:r w:rsidR="00094413" w:rsidRPr="008E72A8">
        <w:rPr>
          <w:rFonts w:cs="Times New Roman"/>
          <w:sz w:val="22"/>
        </w:rPr>
        <w:t>Third, w</w:t>
      </w:r>
      <w:r w:rsidRPr="008E72A8">
        <w:rPr>
          <w:rFonts w:cs="Times New Roman"/>
          <w:sz w:val="22"/>
        </w:rPr>
        <w:t xml:space="preserve">e also controlled for relationship length that may help parties build trust </w:t>
      </w:r>
      <w:r w:rsidR="00094413" w:rsidRPr="008E72A8">
        <w:rPr>
          <w:rFonts w:cs="Times New Roman"/>
          <w:sz w:val="22"/>
        </w:rPr>
        <w:t>w</w:t>
      </w:r>
      <w:r w:rsidRPr="008E72A8">
        <w:rPr>
          <w:rFonts w:cs="Times New Roman"/>
          <w:sz w:val="22"/>
        </w:rPr>
        <w:t xml:space="preserve">hich, in turn, might affect innovation </w:t>
      </w:r>
      <w:r w:rsidRPr="008E72A8">
        <w:rPr>
          <w:rFonts w:cs="Times New Roman"/>
          <w:sz w:val="22"/>
        </w:rPr>
        <w:fldChar w:fldCharType="begin"/>
      </w:r>
      <w:r w:rsidRPr="008E72A8">
        <w:rPr>
          <w:rFonts w:cs="Times New Roman"/>
          <w:sz w:val="22"/>
        </w:rPr>
        <w:instrText xml:space="preserve"> ADDIN ZOTERO_ITEM CSL_CITATION {"citationID":"1n273m3dq1","properties":{"formattedCitation":"(Wang et al., 2011)","plainCitation":"(Wang et al., 2011)"},"citationItems":[{"id":75,"uris":["http://zotero.org/users/local/S7r2cPod/items/93V74HQJ"],"uri":["http://zotero.org/users/local/S7r2cPod/items/93V74HQJ"],"itemData":{"id":75,"type":"article-journal","title":"The impact of trust and contract on innovation performance: The moderating role of environmental uncertainty","container-title":"International Journal of Production Economics","page":"114-122","volume":"134","issue":"1","source":"ScienceDirect","abstract":"Research into two important control mechanisms for managing the supply chain relationship – contracts and trust – is on the rise. However, our understanding of how they influence innovation in a firm remains rather unclear. Thus, the primary objective of this study is to examine the individual and interactive effects of contracts and trust on firms' innovation performance and the contingent effects of environmental uncertainty on those relationships in China. The empirical results from a survey of Chinese manufacturing firms indicate that there is a positive relationship between trust and firms' innovation performance, an inverted U-shaped relationship between the use of contracts and firms' innovation performance, and that contracts and trust are substitutes. Moreover, we find that environmental uncertainty enhances the effects of trust, but does not influence the impact of contracts on innovation performance.","ISSN":"0925-5273","shortTitle":"Enterprise risk management in operations","journalAbbreviation":"International Journal of Production Economics","author":[{"family":"Wang","given":"Longwei"},{"family":"Yeung","given":"Jeff Hoi Yan"},{"family":"Zhang","given":"Min"}],"issued":{"date-parts":[["2011",11]]},"accessed":{"date-parts":[["2013",5,15]]}}}],"schema":"https://github.com/citation-style-language/schema/raw/master/csl-citation.json"} </w:instrText>
      </w:r>
      <w:r w:rsidRPr="008E72A8">
        <w:rPr>
          <w:rFonts w:cs="Times New Roman"/>
          <w:sz w:val="22"/>
        </w:rPr>
        <w:fldChar w:fldCharType="separate"/>
      </w:r>
      <w:r w:rsidRPr="008E72A8">
        <w:rPr>
          <w:rFonts w:cs="Times New Roman"/>
          <w:sz w:val="22"/>
        </w:rPr>
        <w:t>(Wang et al., 2011)</w:t>
      </w:r>
      <w:r w:rsidRPr="008E72A8">
        <w:rPr>
          <w:rFonts w:cs="Times New Roman"/>
          <w:sz w:val="22"/>
        </w:rPr>
        <w:fldChar w:fldCharType="end"/>
      </w:r>
      <w:r w:rsidR="00094413" w:rsidRPr="008E72A8">
        <w:rPr>
          <w:rFonts w:cs="Times New Roman"/>
          <w:sz w:val="22"/>
        </w:rPr>
        <w:t xml:space="preserve">. </w:t>
      </w:r>
      <w:r w:rsidRPr="008E72A8">
        <w:rPr>
          <w:rFonts w:cs="Times New Roman"/>
          <w:sz w:val="22"/>
        </w:rPr>
        <w:t>Relationship length was measured by counting the years since the relationship was formed. Furthermore, previous research has shown that the complexity of the transaction, and the industry in which the firm operates may affect incremental and radical innovation, we controlled for these variables as w</w:t>
      </w:r>
      <w:r w:rsidRPr="0089493A">
        <w:rPr>
          <w:rFonts w:cs="Times New Roman"/>
          <w:sz w:val="22"/>
        </w:rPr>
        <w:t xml:space="preserve">ell. </w:t>
      </w:r>
      <w:r w:rsidR="0089493A" w:rsidRPr="0089493A">
        <w:rPr>
          <w:sz w:val="22"/>
        </w:rPr>
        <w:t>Transaction complexity wa</w:t>
      </w:r>
      <w:r w:rsidR="0089493A">
        <w:rPr>
          <w:sz w:val="22"/>
        </w:rPr>
        <w:t>s measured using a single-item s</w:t>
      </w:r>
      <w:r w:rsidR="0089493A" w:rsidRPr="0089493A">
        <w:rPr>
          <w:sz w:val="22"/>
        </w:rPr>
        <w:t>cale asking respondents about the complexity of the products and services in the selected contract.</w:t>
      </w:r>
      <w:r w:rsidR="0089493A">
        <w:rPr>
          <w:sz w:val="22"/>
        </w:rPr>
        <w:t xml:space="preserve"> </w:t>
      </w:r>
      <w:r w:rsidRPr="0089493A">
        <w:rPr>
          <w:rFonts w:cs="Times New Roman"/>
          <w:sz w:val="22"/>
        </w:rPr>
        <w:t>In addition, we created dummy variables for the six maintenance sectors to control for industry effects. Finally, to control for perception differences between a buyer and seller, we also controlled for whether</w:t>
      </w:r>
      <w:r w:rsidRPr="008E72A8">
        <w:rPr>
          <w:rFonts w:cs="Times New Roman"/>
          <w:sz w:val="22"/>
        </w:rPr>
        <w:t xml:space="preserve"> the respondent works for an asset owner or a provider of maintenance services. </w:t>
      </w:r>
    </w:p>
    <w:p w:rsidR="00094413" w:rsidRPr="008E72A8" w:rsidRDefault="00094413" w:rsidP="00094413">
      <w:pPr>
        <w:pStyle w:val="Heading1"/>
        <w:rPr>
          <w:sz w:val="22"/>
          <w:szCs w:val="22"/>
        </w:rPr>
      </w:pPr>
      <w:r w:rsidRPr="008E72A8">
        <w:rPr>
          <w:sz w:val="22"/>
          <w:szCs w:val="22"/>
        </w:rPr>
        <w:t>RESULTS</w:t>
      </w:r>
    </w:p>
    <w:p w:rsidR="00094413" w:rsidRPr="008E72A8" w:rsidRDefault="00094413" w:rsidP="00094413">
      <w:pPr>
        <w:ind w:firstLine="0"/>
        <w:jc w:val="left"/>
        <w:rPr>
          <w:rFonts w:cs="Times New Roman"/>
          <w:sz w:val="22"/>
        </w:rPr>
      </w:pPr>
      <w:r w:rsidRPr="008E72A8">
        <w:rPr>
          <w:rFonts w:cs="Times New Roman"/>
          <w:sz w:val="22"/>
        </w:rPr>
        <w:t>The models are analyzed using Partial Least Squares</w:t>
      </w:r>
      <w:r w:rsidR="005F7201" w:rsidRPr="008E72A8">
        <w:rPr>
          <w:rFonts w:cs="Times New Roman"/>
          <w:sz w:val="22"/>
        </w:rPr>
        <w:t xml:space="preserve"> (PLS)</w:t>
      </w:r>
      <w:r w:rsidRPr="008E72A8">
        <w:rPr>
          <w:rFonts w:cs="Times New Roman"/>
          <w:sz w:val="22"/>
        </w:rPr>
        <w:t>. The reasons to choose PLS over covariance-based structural equation modeling (CBSEM) are three-fold. First, compared to CBSEM, PLS is better equipped in dealing with small sample sizes. In addition, given that we are one of the first to test how PBCs affect innovation, we are still in the first stages of exploring the relationships among our variables and determining the predictive validity of the independent variables on the dependent variables. As such, PLS is a more appropriate analysis tool in analyzing the hypotheses in this stage (</w:t>
      </w:r>
      <w:r w:rsidRPr="008E72A8">
        <w:rPr>
          <w:rFonts w:cs="Times New Roman"/>
          <w:sz w:val="22"/>
        </w:rPr>
        <w:fldChar w:fldCharType="begin"/>
      </w:r>
      <w:r w:rsidRPr="008E72A8">
        <w:rPr>
          <w:rFonts w:cs="Times New Roman"/>
          <w:sz w:val="22"/>
        </w:rPr>
        <w:instrText xml:space="preserve"> ADDIN ZOTERO_ITEM CSL_CITATION {"citationID":"1jgf209p23","properties":{"formattedCitation":"(Peng &amp; Lai, 2012)","plainCitation":"(Peng &amp; Lai, 2012)"},"citationItems":[{"id":527,"uris":["http://zotero.org/users/local/S7r2cPod/items/9FZ4S2TS"],"uri":["http://zotero.org/users/local/S7r2cPod/items/9FZ4S2TS"],"itemData":{"id":527,"type":"article-journal","title":"Using partial least squares in operations management research: A practical guideline and summary of past research","container-title":"Journal of Operations Management","page":"467-480","volume":"30","issue":"6","source":"ScienceDirect","abstract":"The partial least squares (PLS) approach to structural equation modeling (SEM) has been widely adopted in business research fields such as information systems, consumer behavior, and marketing. The use of PLS in the field of operations management is also growing. However, questions still exist among some operations management researchers regarding whether and how PLS should be used. To address these questions, our study provides a practical guideline for using PLS and uses examples from the operations management literature to demonstrate how the specific points in this guideline can be applied. In addition, our study reviews and summarizes the use of PLS in the recent operations management literature according to our guideline. The main contribution of this study is to present a practical guideline for evaluating and using PLS that is tailored to the operations management field.","ISSN":"0272-6963","shortTitle":"Using partial least squares in operations management research","journalAbbreviation":"Journal of Operations Management","author":[{"family":"Peng","given":"David Xiaosong"},{"family":"Lai","given":"Fujun"}],"issued":{"date-parts":[["2012",9]]},"accessed":{"date-parts":[["2013",11,4]]}}}],"schema":"https://github.com/citation-style-language/schema/raw/master/csl-citation.json"} </w:instrText>
      </w:r>
      <w:r w:rsidRPr="008E72A8">
        <w:rPr>
          <w:rFonts w:cs="Times New Roman"/>
          <w:sz w:val="22"/>
        </w:rPr>
        <w:fldChar w:fldCharType="separate"/>
      </w:r>
      <w:r w:rsidRPr="008E72A8">
        <w:rPr>
          <w:rFonts w:cs="Times New Roman"/>
          <w:sz w:val="22"/>
        </w:rPr>
        <w:t>Peng and Lai, 2012)</w:t>
      </w:r>
      <w:r w:rsidRPr="008E72A8">
        <w:rPr>
          <w:rFonts w:cs="Times New Roman"/>
          <w:sz w:val="22"/>
        </w:rPr>
        <w:fldChar w:fldCharType="end"/>
      </w:r>
      <w:r w:rsidRPr="008E72A8">
        <w:rPr>
          <w:rFonts w:cs="Times New Roman"/>
          <w:sz w:val="22"/>
        </w:rPr>
        <w:t xml:space="preserve">. Finally, we are dealing with a complex research model due to the inverse-U and moderation effect in a single model, with two dependent variables. In case of model complexity, CBSEM increases the total number of parameter estimates, possibly leading to model identification and convergence issues </w:t>
      </w:r>
      <w:r w:rsidRPr="008E72A8">
        <w:rPr>
          <w:rFonts w:cs="Times New Roman"/>
          <w:sz w:val="22"/>
        </w:rPr>
        <w:fldChar w:fldCharType="begin"/>
      </w:r>
      <w:r w:rsidRPr="008E72A8">
        <w:rPr>
          <w:rFonts w:cs="Times New Roman"/>
          <w:sz w:val="22"/>
        </w:rPr>
        <w:instrText xml:space="preserve"> ADDIN ZOTERO_ITEM CSL_CITATION {"citationID":"10u7n45jeh","properties":{"formattedCitation":"(Peng &amp; Lai, 2012)","plainCitation":"(Peng &amp; Lai, 2012)"},"citationItems":[{"id":527,"uris":["http://zotero.org/users/local/S7r2cPod/items/9FZ4S2TS"],"uri":["http://zotero.org/users/local/S7r2cPod/items/9FZ4S2TS"],"itemData":{"id":527,"type":"article-journal","title":"Using partial least squares in operations management research: A practical guideline and summary of past research","container-title":"Journal of Operations Management","page":"467-480","volume":"30","issue":"6","source":"ScienceDirect","abstract":"The partial least squares (PLS) approach to structural equation modeling (SEM) has been widely adopted in business research fields such as information systems, consumer behavior, and marketing. The use of PLS in the field of operations management is also growing. However, questions still exist among some operations management researchers regarding whether and how PLS should be used. To address these questions, our study provides a practical guideline for using PLS and uses examples from the operations management literature to demonstrate how the specific points in this guideline can be applied. In addition, our study reviews and summarizes the use of PLS in the recent operations management literature according to our guideline. The main contribution of this study is to present a practical guideline for evaluating and using PLS that is tailored to the operations management field.","ISSN":"0272-6963","shortTitle":"Using partial least squares in operations management research","journalAbbreviation":"Journal of Operations Management","author":[{"family":"Peng","given":"David Xiaosong"},{"family":"Lai","given":"Fujun"}],"issued":{"date-parts":[["2012",9]]},"accessed":{"date-parts":[["2013",11,4]]}}}],"schema":"https://github.com/citation-style-language/schema/raw/master/csl-citation.json"} </w:instrText>
      </w:r>
      <w:r w:rsidRPr="008E72A8">
        <w:rPr>
          <w:rFonts w:cs="Times New Roman"/>
          <w:sz w:val="22"/>
        </w:rPr>
        <w:fldChar w:fldCharType="separate"/>
      </w:r>
      <w:r w:rsidRPr="008E72A8">
        <w:rPr>
          <w:rFonts w:cs="Times New Roman"/>
          <w:sz w:val="22"/>
        </w:rPr>
        <w:t>(Peng &amp; Lai, 2012)</w:t>
      </w:r>
      <w:r w:rsidRPr="008E72A8">
        <w:rPr>
          <w:rFonts w:cs="Times New Roman"/>
          <w:sz w:val="22"/>
        </w:rPr>
        <w:fldChar w:fldCharType="end"/>
      </w:r>
      <w:r w:rsidRPr="008E72A8">
        <w:rPr>
          <w:rFonts w:cs="Times New Roman"/>
          <w:sz w:val="22"/>
        </w:rPr>
        <w:t xml:space="preserve">. PLS, on the other hand, uses an iterative algorithm to separately calculate parts of the measurement model, and subsequently estimates the structural path coefficients </w:t>
      </w:r>
      <w:r w:rsidRPr="008E72A8">
        <w:rPr>
          <w:rFonts w:cs="Times New Roman"/>
          <w:sz w:val="22"/>
        </w:rPr>
        <w:fldChar w:fldCharType="begin"/>
      </w:r>
      <w:r w:rsidRPr="008E72A8">
        <w:rPr>
          <w:rFonts w:cs="Times New Roman"/>
          <w:sz w:val="22"/>
        </w:rPr>
        <w:instrText xml:space="preserve"> ADDIN ZOTERO_ITEM CSL_CITATION {"citationID":"1ehtncc1b4","properties":{"formattedCitation":"(Peng &amp; Lai, 2012)","plainCitation":"(Peng &amp; Lai, 2012)"},"citationItems":[{"id":527,"uris":["http://zotero.org/users/local/S7r2cPod/items/9FZ4S2TS"],"uri":["http://zotero.org/users/local/S7r2cPod/items/9FZ4S2TS"],"itemData":{"id":527,"type":"article-journal","title":"Using partial least squares in operations management research: A practical guideline and summary of past research","container-title":"Journal of Operations Management","page":"467-480","volume":"30","issue":"6","source":"ScienceDirect","abstract":"The partial least squares (PLS) approach to structural equation modeling (SEM) has been widely adopted in business research fields such as information systems, consumer behavior, and marketing. The use of PLS in the field of operations management is also growing. However, questions still exist among some operations management researchers regarding whether and how PLS should be used. To address these questions, our study provides a practical guideline for using PLS and uses examples from the operations management literature to demonstrate how the specific points in this guideline can be applied. In addition, our study reviews and summarizes the use of PLS in the recent operations management literature according to our guideline. The main contribution of this study is to present a practical guideline for evaluating and using PLS that is tailored to the operations management field.","ISSN":"0272-6963","shortTitle":"Using partial least squares in operations management research","journalAbbreviation":"Journal of Operations Management","author":[{"family":"Peng","given":"David Xiaosong"},{"family":"Lai","given":"Fujun"}],"issued":{"date-parts":[["2012",9]]},"accessed":{"date-parts":[["2013",11,4]]}}}],"schema":"https://github.com/citation-style-language/schema/raw/master/csl-citation.json"} </w:instrText>
      </w:r>
      <w:r w:rsidRPr="008E72A8">
        <w:rPr>
          <w:rFonts w:cs="Times New Roman"/>
          <w:sz w:val="22"/>
        </w:rPr>
        <w:fldChar w:fldCharType="separate"/>
      </w:r>
      <w:r w:rsidRPr="008E72A8">
        <w:rPr>
          <w:rFonts w:cs="Times New Roman"/>
          <w:sz w:val="22"/>
        </w:rPr>
        <w:t>(Peng &amp; Lai, 2012)</w:t>
      </w:r>
      <w:r w:rsidRPr="008E72A8">
        <w:rPr>
          <w:rFonts w:cs="Times New Roman"/>
          <w:sz w:val="22"/>
        </w:rPr>
        <w:fldChar w:fldCharType="end"/>
      </w:r>
      <w:r w:rsidRPr="008E72A8">
        <w:rPr>
          <w:rFonts w:cs="Times New Roman"/>
          <w:sz w:val="22"/>
        </w:rPr>
        <w:t xml:space="preserve">. This leads to a successful estimate of the factor loadings and structural paths subset by subset.  </w:t>
      </w:r>
    </w:p>
    <w:p w:rsidR="00094413" w:rsidRPr="008E72A8" w:rsidRDefault="0089493A" w:rsidP="00952AF4">
      <w:pPr>
        <w:ind w:firstLine="426"/>
        <w:jc w:val="left"/>
        <w:rPr>
          <w:rFonts w:cs="Times New Roman"/>
          <w:sz w:val="22"/>
        </w:rPr>
      </w:pPr>
      <w:r>
        <w:rPr>
          <w:rFonts w:cs="Times New Roman"/>
          <w:sz w:val="22"/>
        </w:rPr>
        <w:t xml:space="preserve">We first used </w:t>
      </w:r>
      <w:r w:rsidRPr="008E72A8">
        <w:rPr>
          <w:rFonts w:cs="Times New Roman"/>
          <w:sz w:val="22"/>
        </w:rPr>
        <w:t>expectation maximization (EM) to replace the small amount of missing values</w:t>
      </w:r>
      <w:r>
        <w:rPr>
          <w:rFonts w:cs="Times New Roman"/>
          <w:sz w:val="22"/>
        </w:rPr>
        <w:t>.</w:t>
      </w:r>
      <w:r w:rsidRPr="008E72A8">
        <w:rPr>
          <w:rFonts w:cs="Times New Roman"/>
          <w:sz w:val="22"/>
        </w:rPr>
        <w:t xml:space="preserve"> </w:t>
      </w:r>
      <w:r w:rsidR="00094413" w:rsidRPr="008E72A8">
        <w:rPr>
          <w:rFonts w:cs="Times New Roman"/>
          <w:sz w:val="22"/>
        </w:rPr>
        <w:t xml:space="preserve">We </w:t>
      </w:r>
      <w:r>
        <w:rPr>
          <w:rFonts w:cs="Times New Roman"/>
          <w:sz w:val="22"/>
        </w:rPr>
        <w:t xml:space="preserve">then </w:t>
      </w:r>
      <w:r w:rsidR="00094413" w:rsidRPr="008E72A8">
        <w:rPr>
          <w:rFonts w:cs="Times New Roman"/>
          <w:sz w:val="22"/>
        </w:rPr>
        <w:t xml:space="preserve">used a bootstrapping sample of 500 to estimate standard errors and statistical significance of structural paths. We replicated the analyses with two additional iterations with bootstrapping samples of 200 and 1000 to assess the stability of the significance of the path coefficients. The results are consistent across the three bootstrap samples. </w:t>
      </w:r>
    </w:p>
    <w:p w:rsidR="00094413" w:rsidRPr="008E72A8" w:rsidRDefault="00094413" w:rsidP="00094413">
      <w:pPr>
        <w:jc w:val="left"/>
        <w:rPr>
          <w:rFonts w:cs="Times New Roman"/>
          <w:b/>
          <w:sz w:val="22"/>
        </w:rPr>
      </w:pPr>
    </w:p>
    <w:p w:rsidR="00094413" w:rsidRPr="008E72A8" w:rsidRDefault="004D364B" w:rsidP="005F7201">
      <w:pPr>
        <w:ind w:firstLine="0"/>
        <w:jc w:val="left"/>
        <w:rPr>
          <w:rFonts w:cs="Times New Roman"/>
          <w:i/>
          <w:sz w:val="22"/>
        </w:rPr>
      </w:pPr>
      <w:r w:rsidRPr="008E72A8">
        <w:rPr>
          <w:rFonts w:cs="Times New Roman"/>
          <w:i/>
          <w:sz w:val="22"/>
        </w:rPr>
        <w:t xml:space="preserve">4.1 </w:t>
      </w:r>
      <w:r w:rsidR="00094413" w:rsidRPr="008E72A8">
        <w:rPr>
          <w:rFonts w:cs="Times New Roman"/>
          <w:i/>
          <w:sz w:val="22"/>
        </w:rPr>
        <w:t>Measurement Model</w:t>
      </w:r>
    </w:p>
    <w:p w:rsidR="00094413" w:rsidRPr="008E72A8" w:rsidRDefault="005F7201" w:rsidP="005F7201">
      <w:pPr>
        <w:ind w:firstLine="0"/>
        <w:jc w:val="left"/>
        <w:rPr>
          <w:rFonts w:cs="Times New Roman"/>
          <w:sz w:val="22"/>
        </w:rPr>
      </w:pPr>
      <w:r w:rsidRPr="008E72A8">
        <w:rPr>
          <w:rFonts w:cs="Times New Roman"/>
          <w:sz w:val="22"/>
        </w:rPr>
        <w:t>W</w:t>
      </w:r>
      <w:r w:rsidR="00094413" w:rsidRPr="008E72A8">
        <w:rPr>
          <w:rFonts w:cs="Times New Roman"/>
          <w:sz w:val="22"/>
        </w:rPr>
        <w:t>e employ confirmatory factor analysis (CFA) to assess unidimensionality, convergent- and discriminant validity of our multi-item constructs.</w:t>
      </w:r>
    </w:p>
    <w:p w:rsidR="005F7201" w:rsidRPr="008E72A8" w:rsidRDefault="00094413" w:rsidP="00952AF4">
      <w:pPr>
        <w:ind w:firstLine="426"/>
        <w:jc w:val="left"/>
        <w:rPr>
          <w:rFonts w:cs="Times New Roman"/>
          <w:sz w:val="22"/>
        </w:rPr>
      </w:pPr>
      <w:r w:rsidRPr="008E72A8">
        <w:rPr>
          <w:rFonts w:cs="Times New Roman"/>
          <w:sz w:val="22"/>
        </w:rPr>
        <w:t>Table 1 presents the descriptive statistics and the bivariate correlations among the variables. All indicators load high (&gt;0.5) on their respective constructs and are significant at a 1% significance level, providing evidence for unidimensionality and convergent validity. Composite reliabilities (CRs) exceed the 0.70 threshold for acceptable reliability. The average variance extracted (AVE) values exceed the 0.50 threshold for all constructs</w:t>
      </w:r>
      <w:r w:rsidR="00884A02">
        <w:rPr>
          <w:rFonts w:cs="Times New Roman"/>
          <w:sz w:val="22"/>
        </w:rPr>
        <w:t xml:space="preserve">. </w:t>
      </w:r>
      <w:r w:rsidR="005F7201" w:rsidRPr="008E72A8">
        <w:rPr>
          <w:rFonts w:cs="Times New Roman"/>
          <w:sz w:val="22"/>
        </w:rPr>
        <w:t>W</w:t>
      </w:r>
      <w:r w:rsidRPr="008E72A8">
        <w:rPr>
          <w:rFonts w:cs="Times New Roman"/>
          <w:sz w:val="22"/>
        </w:rPr>
        <w:t xml:space="preserve">e used AVE and compared this to the squared </w:t>
      </w:r>
      <w:r w:rsidRPr="008E72A8">
        <w:rPr>
          <w:rFonts w:cs="Times New Roman"/>
          <w:sz w:val="22"/>
        </w:rPr>
        <w:lastRenderedPageBreak/>
        <w:t>correlation between construct pairs to assess discriminant validity</w:t>
      </w:r>
      <w:r w:rsidR="005F7201" w:rsidRPr="008E72A8">
        <w:rPr>
          <w:rFonts w:cs="Times New Roman"/>
          <w:sz w:val="22"/>
        </w:rPr>
        <w:t>. T</w:t>
      </w:r>
      <w:r w:rsidRPr="008E72A8">
        <w:rPr>
          <w:rFonts w:cs="Times New Roman"/>
          <w:sz w:val="22"/>
        </w:rPr>
        <w:t xml:space="preserve">he AVE is larger than the squared correlations between constructs, indicating that each construct explains more of its variance in its item measures than it shares with other constructs. In addition, our data does not deal with cross-loadings. </w:t>
      </w:r>
    </w:p>
    <w:p w:rsidR="00094413" w:rsidRPr="008E72A8" w:rsidRDefault="00094413" w:rsidP="00952AF4">
      <w:pPr>
        <w:jc w:val="left"/>
        <w:rPr>
          <w:rFonts w:cs="Times New Roman"/>
          <w:sz w:val="22"/>
        </w:rPr>
      </w:pPr>
      <w:r w:rsidRPr="008E72A8">
        <w:rPr>
          <w:rFonts w:cs="Times New Roman"/>
          <w:sz w:val="22"/>
        </w:rPr>
        <w:t xml:space="preserve">To minimize concerns about common method bias, we incorporated remedial procedures </w:t>
      </w:r>
      <w:r w:rsidRPr="008E72A8">
        <w:rPr>
          <w:rFonts w:cs="Times New Roman"/>
          <w:sz w:val="22"/>
        </w:rPr>
        <w:fldChar w:fldCharType="begin"/>
      </w:r>
      <w:r w:rsidRPr="008E72A8">
        <w:rPr>
          <w:rFonts w:cs="Times New Roman"/>
          <w:sz w:val="22"/>
        </w:rPr>
        <w:instrText xml:space="preserve"> ADDIN ZOTERO_ITEM CSL_CITATION {"citationID":"1nj087s9it","properties":{"formattedCitation":"(Podsakoff, MacKenzie, Lee, &amp; Podsakoff, 2003)","plainCitation":"(Podsakoff, MacKenzie, Lee, &amp; Podsakoff, 2003)"},"citationItems":[{"id":386,"uris":["http://zotero.org/users/local/S7r2cPod/items/RZWEGK7S"],"uri":["http://zotero.org/users/local/S7r2cPod/items/RZWEGK7S"],"itemData":{"id":386,"type":"article-journal","title":"Common method biases in behavioral research: A critical review of the literature and recommended remedies","container-title":"The Journal of applied psychology","page":"879-903","volume":"88","issue":"5","source":"NCBI PubMed","abstract":"Interest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settings.","ISSN":"0021-9010","note":"PMID: 14516251","shortTitle":"Common method biases in behavioral research","journalAbbreviation":"J Appl Psychol","language":"eng","author":[{"family":"Podsakoff","given":"Philip M"},{"family":"MacKenzie","given":"Scott B"},{"family":"Lee","given":"Jeong-Yeon"},{"family":"Podsakoff","given":"Nathan P"}],"issued":{"date-parts":[["2003",10]]},"PMID":"14516251"}}],"schema":"https://github.com/citation-style-language/schema/raw/master/csl-citation.json"} </w:instrText>
      </w:r>
      <w:r w:rsidRPr="008E72A8">
        <w:rPr>
          <w:rFonts w:cs="Times New Roman"/>
          <w:sz w:val="22"/>
        </w:rPr>
        <w:fldChar w:fldCharType="separate"/>
      </w:r>
      <w:r w:rsidRPr="008E72A8">
        <w:rPr>
          <w:rFonts w:cs="Times New Roman"/>
          <w:sz w:val="22"/>
        </w:rPr>
        <w:t>(Po</w:t>
      </w:r>
      <w:r w:rsidR="00952AF4">
        <w:rPr>
          <w:rFonts w:cs="Times New Roman"/>
          <w:sz w:val="22"/>
        </w:rPr>
        <w:t>dsakoff et al</w:t>
      </w:r>
      <w:r w:rsidRPr="008E72A8">
        <w:rPr>
          <w:rFonts w:cs="Times New Roman"/>
          <w:sz w:val="22"/>
        </w:rPr>
        <w:t>, 200</w:t>
      </w:r>
      <w:r w:rsidR="00952AF4">
        <w:rPr>
          <w:rFonts w:cs="Times New Roman"/>
          <w:sz w:val="22"/>
        </w:rPr>
        <w:t>3</w:t>
      </w:r>
      <w:r w:rsidRPr="008E72A8">
        <w:rPr>
          <w:rFonts w:cs="Times New Roman"/>
          <w:sz w:val="22"/>
        </w:rPr>
        <w:t>)</w:t>
      </w:r>
      <w:r w:rsidRPr="008E72A8">
        <w:rPr>
          <w:rFonts w:cs="Times New Roman"/>
          <w:sz w:val="22"/>
        </w:rPr>
        <w:fldChar w:fldCharType="end"/>
      </w:r>
      <w:r w:rsidRPr="008E72A8">
        <w:rPr>
          <w:rFonts w:cs="Times New Roman"/>
          <w:sz w:val="22"/>
        </w:rPr>
        <w:t>. First, the pre-test we conducted before survey administration minimized item ambiguity and any comprehension problems for the respondents. In addition, we guaranteed respondent  anonymity, which reduces respondents’ tendency to pro</w:t>
      </w:r>
      <w:r w:rsidR="00E4720E" w:rsidRPr="008E72A8">
        <w:rPr>
          <w:rFonts w:cs="Times New Roman"/>
          <w:sz w:val="22"/>
        </w:rPr>
        <w:t>vide socially desirable answers</w:t>
      </w:r>
      <w:r w:rsidRPr="008E72A8">
        <w:rPr>
          <w:rFonts w:cs="Times New Roman"/>
          <w:sz w:val="22"/>
        </w:rPr>
        <w:fldChar w:fldCharType="begin"/>
      </w:r>
      <w:r w:rsidRPr="008E72A8">
        <w:rPr>
          <w:rFonts w:cs="Times New Roman"/>
          <w:sz w:val="22"/>
        </w:rPr>
        <w:instrText xml:space="preserve"> ADDIN ZOTERO_ITEM CSL_CITATION {"citationID":"zcK5kzN6","properties":{"formattedCitation":"(Smets, Langerak, &amp; Rijsdijk, 2013)","plainCitation":"(Smets, Langerak, &amp; Rijsdijk, 2013)"},"citationItems":[{"id":466,"uris":["http://zotero.org/users/local/S7r2cPod/items/EA3ZFCRA"],"uri":["http://zotero.org/users/local/S7r2cPod/items/EA3ZFCRA"],"itemData":{"id":466,"type":"article-journal","title":"Shouldn't customers control customized product development?","container-title":"Journal of Product Innovation Management","source":"Wiley Online Library","abstract":"Nowadays, customized product development (CPD) is increasingly prevalent in business-to-business settings, which has motivated manufacturers into development approaches wherein the customer plays an active role. When the customer is merely viewed as a passive receiver of the customized product, the manufacturer won't be able to truly empathize with the customer and might lack important suggestions to create and improve the customized product. It is, after all, the customer that holds pertinent development information and/or expertise. Yet, customers are not always motivated to participate and often need to be convinced about the manufacturer's ability to develop customized products in a timely and cost-effective manner. Prior literature on interorganizational relationships suggests the use of formal control, i.e., process and/or output control, to fashion activities in line with expectations so that development goals can be attained. Thereupon, this study posits that the customer's use of such formal controls may stimulate customer participation in CPD. In addition, this study investigates whether manufacturers can indeed benefit from customer participation in CPD through improved new product performance. To accomplish the research objectives, survey-based and accounting data are collected on 63 collaborative CPD projects between a plastics manufacturer and its industrial customers. In conjunction with an add-on experimental study regarding the effect of formal control on customer participation, this study reveals that the customer's use of formal control significantly increases the level of customer participation in CPD. Additionally, this study confirms that customer participation positively impacts new product performance. Together, these results imply that letting the customer use process and/or output control helps the customer to believe more in the pursuit of CPD goals and successful product customization, thereby encouraging the customer to participate more actively in CPD. Besides, the findings imply that increased access to market and customer need-related information obtained through customer participation is indeed critical for successful CPD.","URL":"http://onlinelibrary.wiley.com/doi/10.1111/jpim.12057/abstract","ISSN":"1540-5885","language":"en","author":[{"family":"Smets","given":"Lydie P. M."},{"family":"Langerak","given":"Fred"},{"family":"Rijsdijk","given":"Serge A."}],"issued":{"date-parts":[["2013"]]},"accessed":{"date-parts":[["2013",9,11]]}}}],"schema":"https://github.com/citation-style-language/schema/raw/master/csl-citation.json"} </w:instrText>
      </w:r>
      <w:r w:rsidRPr="008E72A8">
        <w:rPr>
          <w:rFonts w:cs="Times New Roman"/>
          <w:sz w:val="22"/>
        </w:rPr>
        <w:fldChar w:fldCharType="end"/>
      </w:r>
      <w:r w:rsidRPr="008E72A8">
        <w:rPr>
          <w:rFonts w:cs="Times New Roman"/>
          <w:sz w:val="22"/>
        </w:rPr>
        <w:t xml:space="preserve">. Finally, we included items that needed to be reversely coded, which is recommended for reducing the potential effects of pattern responses. To identify whether we are dealing with common method bias we looked at the path coefficients of the models and Harman’s post hoc-one factor test </w:t>
      </w:r>
      <w:r w:rsidRPr="008E72A8">
        <w:rPr>
          <w:rFonts w:cs="Times New Roman"/>
          <w:sz w:val="22"/>
        </w:rPr>
        <w:fldChar w:fldCharType="begin"/>
      </w:r>
      <w:r w:rsidRPr="008E72A8">
        <w:rPr>
          <w:rFonts w:cs="Times New Roman"/>
          <w:sz w:val="22"/>
        </w:rPr>
        <w:instrText xml:space="preserve"> ADDIN ZOTERO_ITEM CSL_CITATION {"citationID":"m9hisnr1k","properties":{"formattedCitation":"(Podsakoff et al., 2003)","plainCitation":"(Podsakoff et al., 2003)"},"citationItems":[{"id":386,"uris":["http://zotero.org/users/local/S7r2cPod/items/RZWEGK7S"],"uri":["http://zotero.org/users/local/S7r2cPod/items/RZWEGK7S"],"itemData":{"id":386,"type":"article-journal","title":"Common method biases in behavioral research: A critical review of the literature and recommended remedies","container-title":"The Journal of applied psychology","page":"879-903","volume":"88","issue":"5","source":"NCBI PubMed","abstract":"Interest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settings.","ISSN":"0021-9010","note":"PMID: 14516251","shortTitle":"Common method biases in behavioral research","journalAbbreviation":"J Appl Psychol","language":"eng","author":[{"family":"Podsakoff","given":"Philip M"},{"family":"MacKenzie","given":"Scott B"},{"family":"Lee","given":"Jeong-Yeon"},{"family":"Podsakoff","given":"Nathan P"}],"issued":{"date-parts":[["2003",10]]},"PMID":"14516251"}}],"schema":"https://github.com/citation-style-language/schema/raw/master/csl-citation.json"} </w:instrText>
      </w:r>
      <w:r w:rsidRPr="008E72A8">
        <w:rPr>
          <w:rFonts w:cs="Times New Roman"/>
          <w:sz w:val="22"/>
        </w:rPr>
        <w:fldChar w:fldCharType="separate"/>
      </w:r>
      <w:r w:rsidRPr="008E72A8">
        <w:rPr>
          <w:rFonts w:cs="Times New Roman"/>
          <w:sz w:val="22"/>
        </w:rPr>
        <w:t>(Podsakoff et al., 2003)</w:t>
      </w:r>
      <w:r w:rsidRPr="008E72A8">
        <w:rPr>
          <w:rFonts w:cs="Times New Roman"/>
          <w:sz w:val="22"/>
        </w:rPr>
        <w:fldChar w:fldCharType="end"/>
      </w:r>
      <w:r w:rsidRPr="008E72A8">
        <w:rPr>
          <w:rFonts w:cs="Times New Roman"/>
          <w:sz w:val="22"/>
        </w:rPr>
        <w:t>. The path coefficients show different levels of significance across the models, indicating the absence of common-method bias. In addition, principal component analysis for Harman’s post hoc-one factor test showed that the first factor accounts for 2</w:t>
      </w:r>
      <w:r w:rsidR="00884A02">
        <w:rPr>
          <w:rFonts w:cs="Times New Roman"/>
          <w:sz w:val="22"/>
        </w:rPr>
        <w:t>6.9</w:t>
      </w:r>
      <w:r w:rsidRPr="008E72A8">
        <w:rPr>
          <w:rFonts w:cs="Times New Roman"/>
          <w:sz w:val="22"/>
        </w:rPr>
        <w:t xml:space="preserve">% of the variance, suggesting that the observed variance cannot be explained by one underlying factor </w:t>
      </w:r>
      <w:r w:rsidRPr="008E72A8">
        <w:rPr>
          <w:rFonts w:cs="Times New Roman"/>
          <w:sz w:val="22"/>
        </w:rPr>
        <w:fldChar w:fldCharType="begin"/>
      </w:r>
      <w:r w:rsidRPr="008E72A8">
        <w:rPr>
          <w:rFonts w:cs="Times New Roman"/>
          <w:sz w:val="22"/>
        </w:rPr>
        <w:instrText xml:space="preserve"> ADDIN ZOTERO_ITEM CSL_CITATION {"citationID":"159m675tpm","properties":{"formattedCitation":"(Im &amp; Rai, 2008)","plainCitation":"(Im &amp; Rai, 2008)"},"citationItems":[{"id":193,"uris":["http://zotero.org/users/local/S7r2cPod/items/6MMIER23"],"uri":["http://zotero.org/users/local/S7r2cPod/items/6MMIER23"],"itemData":{"id":193,"type":"article-journal","title":"Knowledge sharing ambidexterity in long-term interorganizational relationships","container-title":"Management Science","page":"1281-1296","volume":"54","issue":"7","source":"mansci.journal.informs.org","abstract":"Although past research has investigated the impact of exploration and exploitation on firm performance, there is limited research on these effects in interorganizational relationships. We examine whether the boundary condition for ambidextrous learning can be extended from firms to long-term interorganizational relationships. Specifically, we focus on a particular aspect of learning—namely, explorative and exploitative knowledge sharing—and examine its impact on the performance of long-term relationships. We also theorize how ambidextrous management of the relationship and ontological commitment to span the syntactic, semantic, and pragmatic knowledge boundaries between partners enable knowledge sharing. Our theoretical predictions are tested using data collected from both account managers at customer firms responsible for the relationship with a leading supply chain vendor and account managers at the vendor firm responsible for relationships with customers. The findings suggest that both exploratory and exploitative knowledge sharing lead to relationship performance gains, that such sharing is enabled by the ambidextrous management of the relationship, and that such sharing is facilitated by ontological commitment. Interesting differences in the enablers and consequences of both forms of knowledge sharing are detected between customers and the vendor.","ISSN":"0025-1909, 1526-5501","journalAbbreviation":"Management Science","language":"en","author":[{"family":"Im","given":"Ghiyoung"},{"family":"Rai","given":"Arun"}],"issued":{"date-parts":[["2008",1,7]]},"accessed":{"date-parts":[["2013",5,15]]}}}],"schema":"https://github.com/citation-style-language/schema/raw/master/csl-citation.json"} </w:instrText>
      </w:r>
      <w:r w:rsidRPr="008E72A8">
        <w:rPr>
          <w:rFonts w:cs="Times New Roman"/>
          <w:sz w:val="22"/>
        </w:rPr>
        <w:fldChar w:fldCharType="separate"/>
      </w:r>
      <w:r w:rsidRPr="008E72A8">
        <w:rPr>
          <w:rFonts w:cs="Times New Roman"/>
          <w:sz w:val="22"/>
        </w:rPr>
        <w:t>(Im &amp; Rai, 2008)</w:t>
      </w:r>
      <w:r w:rsidRPr="008E72A8">
        <w:rPr>
          <w:rFonts w:cs="Times New Roman"/>
          <w:sz w:val="22"/>
        </w:rPr>
        <w:fldChar w:fldCharType="end"/>
      </w:r>
      <w:r w:rsidRPr="008E72A8">
        <w:rPr>
          <w:rFonts w:cs="Times New Roman"/>
          <w:sz w:val="22"/>
        </w:rPr>
        <w:t>.</w:t>
      </w:r>
    </w:p>
    <w:p w:rsidR="00094413" w:rsidRPr="008E72A8" w:rsidRDefault="00094413" w:rsidP="005F7201">
      <w:pPr>
        <w:autoSpaceDE w:val="0"/>
        <w:autoSpaceDN w:val="0"/>
        <w:adjustRightInd w:val="0"/>
        <w:spacing w:before="120"/>
        <w:jc w:val="center"/>
        <w:rPr>
          <w:rFonts w:cs="Times New Roman"/>
          <w:sz w:val="22"/>
        </w:rPr>
      </w:pPr>
      <w:r w:rsidRPr="008E72A8">
        <w:rPr>
          <w:rFonts w:cs="Times New Roman"/>
          <w:sz w:val="22"/>
        </w:rPr>
        <w:t>----------------------------------</w:t>
      </w:r>
    </w:p>
    <w:p w:rsidR="00094413" w:rsidRPr="008E72A8" w:rsidRDefault="00094413" w:rsidP="005F7201">
      <w:pPr>
        <w:autoSpaceDE w:val="0"/>
        <w:autoSpaceDN w:val="0"/>
        <w:adjustRightInd w:val="0"/>
        <w:jc w:val="center"/>
        <w:rPr>
          <w:rFonts w:cs="Times New Roman"/>
          <w:sz w:val="22"/>
        </w:rPr>
      </w:pPr>
      <w:r w:rsidRPr="008E72A8">
        <w:rPr>
          <w:rFonts w:cs="Times New Roman"/>
          <w:sz w:val="22"/>
        </w:rPr>
        <w:t>Insert Table 1 Here</w:t>
      </w:r>
    </w:p>
    <w:p w:rsidR="00094413" w:rsidRPr="008E72A8" w:rsidRDefault="00094413" w:rsidP="005F7201">
      <w:pPr>
        <w:autoSpaceDE w:val="0"/>
        <w:autoSpaceDN w:val="0"/>
        <w:adjustRightInd w:val="0"/>
        <w:spacing w:after="120"/>
        <w:jc w:val="center"/>
        <w:rPr>
          <w:rFonts w:cs="Times New Roman"/>
          <w:sz w:val="22"/>
        </w:rPr>
      </w:pPr>
      <w:r w:rsidRPr="008E72A8">
        <w:rPr>
          <w:rFonts w:cs="Times New Roman"/>
          <w:sz w:val="22"/>
        </w:rPr>
        <w:t>----------------------------------</w:t>
      </w:r>
    </w:p>
    <w:p w:rsidR="00094413" w:rsidRPr="008E72A8" w:rsidRDefault="004D364B" w:rsidP="005F7201">
      <w:pPr>
        <w:ind w:firstLine="0"/>
        <w:jc w:val="left"/>
        <w:rPr>
          <w:rFonts w:cs="Times New Roman"/>
          <w:i/>
          <w:sz w:val="22"/>
        </w:rPr>
      </w:pPr>
      <w:r w:rsidRPr="008E72A8">
        <w:rPr>
          <w:rFonts w:cs="Times New Roman"/>
          <w:i/>
          <w:sz w:val="22"/>
        </w:rPr>
        <w:t xml:space="preserve">4.2 </w:t>
      </w:r>
      <w:r w:rsidR="00094413" w:rsidRPr="008E72A8">
        <w:rPr>
          <w:rFonts w:cs="Times New Roman"/>
          <w:i/>
          <w:sz w:val="22"/>
        </w:rPr>
        <w:t>Hypotheses Tests</w:t>
      </w:r>
    </w:p>
    <w:p w:rsidR="00094413" w:rsidRPr="008E72A8" w:rsidRDefault="00952AF4" w:rsidP="005F7201">
      <w:pPr>
        <w:ind w:firstLine="0"/>
        <w:jc w:val="left"/>
        <w:rPr>
          <w:rFonts w:cs="Times New Roman"/>
          <w:sz w:val="22"/>
        </w:rPr>
      </w:pPr>
      <w:r>
        <w:rPr>
          <w:rFonts w:cs="Times New Roman"/>
          <w:sz w:val="22"/>
        </w:rPr>
        <w:t>W</w:t>
      </w:r>
      <w:r w:rsidR="00094413" w:rsidRPr="008E72A8">
        <w:rPr>
          <w:rFonts w:cs="Times New Roman"/>
          <w:sz w:val="22"/>
        </w:rPr>
        <w:t>e mean centered and standardized the variables term specificity, pay-for-performance and risk-</w:t>
      </w:r>
      <w:r>
        <w:rPr>
          <w:rFonts w:cs="Times New Roman"/>
          <w:sz w:val="22"/>
        </w:rPr>
        <w:t xml:space="preserve">taking propensity </w:t>
      </w:r>
      <w:r w:rsidR="00094413" w:rsidRPr="008E72A8">
        <w:rPr>
          <w:rFonts w:cs="Times New Roman"/>
          <w:sz w:val="22"/>
        </w:rPr>
        <w:t xml:space="preserve">prior to creating the cross products and interaction terms. Table 2 examines the relationship between the contractual characteristics and incremental and radical innovation. </w:t>
      </w:r>
    </w:p>
    <w:p w:rsidR="00094413" w:rsidRPr="008E72A8" w:rsidRDefault="00094413" w:rsidP="005F7201">
      <w:pPr>
        <w:autoSpaceDE w:val="0"/>
        <w:autoSpaceDN w:val="0"/>
        <w:adjustRightInd w:val="0"/>
        <w:spacing w:before="120"/>
        <w:jc w:val="center"/>
        <w:rPr>
          <w:rFonts w:cs="Times New Roman"/>
          <w:sz w:val="22"/>
        </w:rPr>
      </w:pPr>
      <w:r w:rsidRPr="008E72A8">
        <w:rPr>
          <w:rFonts w:cs="Times New Roman"/>
          <w:sz w:val="22"/>
        </w:rPr>
        <w:t>----------------------------------</w:t>
      </w:r>
    </w:p>
    <w:p w:rsidR="00094413" w:rsidRPr="008E72A8" w:rsidRDefault="00094413" w:rsidP="005F7201">
      <w:pPr>
        <w:autoSpaceDE w:val="0"/>
        <w:autoSpaceDN w:val="0"/>
        <w:adjustRightInd w:val="0"/>
        <w:jc w:val="center"/>
        <w:rPr>
          <w:rFonts w:cs="Times New Roman"/>
          <w:sz w:val="22"/>
        </w:rPr>
      </w:pPr>
      <w:r w:rsidRPr="008E72A8">
        <w:rPr>
          <w:rFonts w:cs="Times New Roman"/>
          <w:sz w:val="22"/>
        </w:rPr>
        <w:t>Insert Table 2 Here</w:t>
      </w:r>
    </w:p>
    <w:p w:rsidR="00094413" w:rsidRPr="008E72A8" w:rsidRDefault="00094413" w:rsidP="005F7201">
      <w:pPr>
        <w:autoSpaceDE w:val="0"/>
        <w:autoSpaceDN w:val="0"/>
        <w:adjustRightInd w:val="0"/>
        <w:spacing w:after="120"/>
        <w:jc w:val="center"/>
        <w:rPr>
          <w:rFonts w:cs="Times New Roman"/>
          <w:sz w:val="22"/>
        </w:rPr>
      </w:pPr>
      <w:r w:rsidRPr="008E72A8">
        <w:rPr>
          <w:rFonts w:cs="Times New Roman"/>
          <w:sz w:val="22"/>
        </w:rPr>
        <w:t>----------------------------------</w:t>
      </w:r>
    </w:p>
    <w:p w:rsidR="00094413" w:rsidRPr="008E72A8" w:rsidRDefault="00094413" w:rsidP="005F7201">
      <w:pPr>
        <w:ind w:firstLine="0"/>
        <w:jc w:val="left"/>
        <w:rPr>
          <w:rFonts w:cs="Times New Roman"/>
          <w:sz w:val="22"/>
        </w:rPr>
      </w:pPr>
      <w:r w:rsidRPr="008E72A8">
        <w:rPr>
          <w:rFonts w:cs="Times New Roman"/>
          <w:sz w:val="22"/>
        </w:rPr>
        <w:t>We tested the relationships with</w:t>
      </w:r>
      <w:r w:rsidR="005F7201" w:rsidRPr="008E72A8">
        <w:rPr>
          <w:rFonts w:cs="Times New Roman"/>
          <w:sz w:val="22"/>
        </w:rPr>
        <w:t xml:space="preserve"> three separate models</w:t>
      </w:r>
      <w:r w:rsidRPr="008E72A8">
        <w:rPr>
          <w:rFonts w:cs="Times New Roman"/>
          <w:sz w:val="22"/>
        </w:rPr>
        <w:t xml:space="preserve">. </w:t>
      </w:r>
      <w:r w:rsidR="005D36E0" w:rsidRPr="008E72A8">
        <w:rPr>
          <w:rFonts w:cs="Times New Roman"/>
          <w:sz w:val="22"/>
        </w:rPr>
        <w:t>Model 1</w:t>
      </w:r>
      <w:r w:rsidR="005F7201" w:rsidRPr="008E72A8">
        <w:rPr>
          <w:rFonts w:cs="Times New Roman"/>
          <w:sz w:val="22"/>
        </w:rPr>
        <w:t>,</w:t>
      </w:r>
      <w:r w:rsidRPr="008E72A8">
        <w:rPr>
          <w:rFonts w:cs="Times New Roman"/>
          <w:sz w:val="22"/>
        </w:rPr>
        <w:t xml:space="preserve"> the baseline model</w:t>
      </w:r>
      <w:r w:rsidR="005F7201" w:rsidRPr="008E72A8">
        <w:rPr>
          <w:rFonts w:cs="Times New Roman"/>
          <w:sz w:val="22"/>
        </w:rPr>
        <w:t xml:space="preserve">, </w:t>
      </w:r>
      <w:r w:rsidRPr="008E72A8">
        <w:rPr>
          <w:rFonts w:cs="Times New Roman"/>
          <w:sz w:val="22"/>
        </w:rPr>
        <w:t>tests the control variables.</w:t>
      </w:r>
      <w:r w:rsidR="005D36E0" w:rsidRPr="008E72A8">
        <w:rPr>
          <w:rFonts w:cs="Times New Roman"/>
          <w:sz w:val="22"/>
        </w:rPr>
        <w:t xml:space="preserve"> </w:t>
      </w:r>
      <w:r w:rsidRPr="008E72A8">
        <w:rPr>
          <w:rFonts w:cs="Times New Roman"/>
          <w:sz w:val="22"/>
        </w:rPr>
        <w:t>Model 2 evaluates the impact of the direct effects of the independent variables (including the cross product variable of term specificity) on the dependent variables. Finally, model 3 includes the effect of the moderation variable on incremental and radical innovation. It represents the fully specified model which assesses our hypotheses while controlling for other potentially confounding factors. The final model exhibits adequate predictive validity, as it explains 5</w:t>
      </w:r>
      <w:r w:rsidR="00884A02">
        <w:rPr>
          <w:rFonts w:cs="Times New Roman"/>
          <w:sz w:val="22"/>
        </w:rPr>
        <w:t>5</w:t>
      </w:r>
      <w:r w:rsidRPr="008E72A8">
        <w:rPr>
          <w:rFonts w:cs="Times New Roman"/>
          <w:sz w:val="22"/>
        </w:rPr>
        <w:t>% of the variance in incremental innovation, and 3</w:t>
      </w:r>
      <w:r w:rsidR="00884A02">
        <w:rPr>
          <w:rFonts w:cs="Times New Roman"/>
          <w:sz w:val="22"/>
        </w:rPr>
        <w:t>4</w:t>
      </w:r>
      <w:r w:rsidRPr="008E72A8">
        <w:rPr>
          <w:rFonts w:cs="Times New Roman"/>
          <w:sz w:val="22"/>
        </w:rPr>
        <w:t xml:space="preserve">% in radical innovation. </w:t>
      </w:r>
    </w:p>
    <w:p w:rsidR="00094413" w:rsidRPr="008E72A8" w:rsidRDefault="00094413" w:rsidP="00952AF4">
      <w:pPr>
        <w:ind w:firstLine="426"/>
        <w:jc w:val="left"/>
        <w:rPr>
          <w:rFonts w:cs="Times New Roman"/>
          <w:sz w:val="22"/>
        </w:rPr>
      </w:pPr>
      <w:r w:rsidRPr="008E72A8">
        <w:rPr>
          <w:rFonts w:cs="Times New Roman"/>
          <w:sz w:val="22"/>
        </w:rPr>
        <w:t xml:space="preserve">The results support Hypothesis 1A since the linear term of term specificity is positive and significant (β=0.2, </w:t>
      </w:r>
      <w:r w:rsidRPr="008E72A8">
        <w:rPr>
          <w:rFonts w:cs="Times New Roman"/>
          <w:i/>
          <w:sz w:val="22"/>
        </w:rPr>
        <w:t>p</w:t>
      </w:r>
      <w:r w:rsidRPr="008E72A8">
        <w:rPr>
          <w:rFonts w:cs="Times New Roman"/>
          <w:sz w:val="22"/>
        </w:rPr>
        <w:t>&lt;0.01), while the squared term of term specificity is negative and significant (β=-0.1</w:t>
      </w:r>
      <w:r w:rsidR="00884A02">
        <w:rPr>
          <w:rFonts w:cs="Times New Roman"/>
          <w:sz w:val="22"/>
        </w:rPr>
        <w:t>1</w:t>
      </w:r>
      <w:r w:rsidRPr="008E72A8">
        <w:rPr>
          <w:rFonts w:cs="Times New Roman"/>
          <w:sz w:val="22"/>
        </w:rPr>
        <w:t xml:space="preserve">, </w:t>
      </w:r>
      <w:r w:rsidRPr="008E72A8">
        <w:rPr>
          <w:rFonts w:cs="Times New Roman"/>
          <w:i/>
          <w:sz w:val="22"/>
        </w:rPr>
        <w:t>p</w:t>
      </w:r>
      <w:r w:rsidRPr="008E72A8">
        <w:rPr>
          <w:rFonts w:cs="Times New Roman"/>
          <w:sz w:val="22"/>
        </w:rPr>
        <w:t>&lt;0.0</w:t>
      </w:r>
      <w:r w:rsidR="00884A02">
        <w:rPr>
          <w:rFonts w:cs="Times New Roman"/>
          <w:sz w:val="22"/>
        </w:rPr>
        <w:t>5</w:t>
      </w:r>
      <w:r w:rsidRPr="008E72A8">
        <w:rPr>
          <w:rFonts w:cs="Times New Roman"/>
          <w:sz w:val="22"/>
        </w:rPr>
        <w:t>). This means that there is an optimal level of term specificity which maximizes incremental innovation</w:t>
      </w:r>
      <w:r w:rsidR="005D36E0" w:rsidRPr="008E72A8">
        <w:rPr>
          <w:rFonts w:cs="Times New Roman"/>
          <w:sz w:val="22"/>
        </w:rPr>
        <w:t xml:space="preserve">. </w:t>
      </w:r>
      <w:r w:rsidRPr="008E72A8">
        <w:rPr>
          <w:rFonts w:cs="Times New Roman"/>
          <w:sz w:val="22"/>
        </w:rPr>
        <w:t>Hypothesis 1B states that the higher the degree of term specificity in a contract, the less likely the partner will engage in radica</w:t>
      </w:r>
      <w:r w:rsidRPr="00884A02">
        <w:rPr>
          <w:rFonts w:cs="Times New Roman"/>
          <w:sz w:val="22"/>
        </w:rPr>
        <w:t xml:space="preserve">l innovation. </w:t>
      </w:r>
      <w:r w:rsidR="00884A02" w:rsidRPr="00884A02">
        <w:rPr>
          <w:sz w:val="22"/>
        </w:rPr>
        <w:t xml:space="preserve">The results show that this hypothesis is supported (β=-0.09, </w:t>
      </w:r>
      <w:r w:rsidR="00884A02" w:rsidRPr="00884A02">
        <w:rPr>
          <w:i/>
          <w:sz w:val="22"/>
        </w:rPr>
        <w:t>p</w:t>
      </w:r>
      <w:r w:rsidR="00884A02" w:rsidRPr="00884A02">
        <w:rPr>
          <w:sz w:val="22"/>
        </w:rPr>
        <w:t>&lt;0.1).</w:t>
      </w:r>
      <w:r w:rsidRPr="00884A02">
        <w:rPr>
          <w:rFonts w:cs="Times New Roman"/>
          <w:sz w:val="22"/>
        </w:rPr>
        <w:t xml:space="preserve"> To evaluate the effect size of term specificity (and its quadratic effect) on incremental and radical innovation, we use </w:t>
      </w:r>
      <w:r w:rsidRPr="00884A02">
        <w:rPr>
          <w:rFonts w:cs="Times New Roman"/>
          <w:sz w:val="22"/>
        </w:rPr>
        <w:fldChar w:fldCharType="begin"/>
      </w:r>
      <w:r w:rsidR="00F34E52" w:rsidRPr="00884A02">
        <w:rPr>
          <w:rFonts w:cs="Times New Roman"/>
          <w:sz w:val="22"/>
        </w:rPr>
        <w:instrText xml:space="preserve"> ADDIN ZOTERO_ITEM CSL_CITATION {"citationID":"2c0cl5r4dh","properties":{"formattedCitation":"(Cohen, 1988)","plainCitation":"(Cohen, 1988)"},"citationItems":[{"id":546,"uris":["http://zotero.org/users/local/S7r2cPod/items/76NCH7S5"],"uri":["http://zotero.org/users/local/S7r2cPod/items/76NCH7S5"],"itemData":{"id":546,"type":"book","title":"Statistical power analysis for the behavioral sciences","publisher":"L. Erlbaum Associates, Hilssdale, NJ","source":"Open WorldCat","abstract":"This is a nontechnical guide to power analysis in research planning that provides users of applied statistics with the tools they need for more effective analysis. The second edition includes: a chapter covering power analysis in set correlation and multivariate methods; a chapter considering effect size, psychometric reliability, and the efficacy of \"qualifying\" dependent variables and; expanded power and sample size tables for multiple regression/correlation.","ISBN":"0805802835 9780805802832","language":"English","author":[{"family":"Cohen","given":"Jacob"}],"issued":{"date-parts":[["1988"]]}}}],"schema":"https://github.com/citation-style-language/schema/raw/master/csl-citation.json"} </w:instrText>
      </w:r>
      <w:r w:rsidRPr="00884A02">
        <w:rPr>
          <w:rFonts w:cs="Times New Roman"/>
          <w:sz w:val="22"/>
        </w:rPr>
        <w:fldChar w:fldCharType="separate"/>
      </w:r>
      <w:r w:rsidRPr="00884A02">
        <w:rPr>
          <w:rFonts w:cs="Times New Roman"/>
          <w:sz w:val="22"/>
        </w:rPr>
        <w:t>Cohen's (1988)</w:t>
      </w:r>
      <w:r w:rsidRPr="00884A02">
        <w:rPr>
          <w:rFonts w:cs="Times New Roman"/>
          <w:sz w:val="22"/>
        </w:rPr>
        <w:fldChar w:fldCharType="end"/>
      </w:r>
      <w:r w:rsidRPr="00884A02">
        <w:rPr>
          <w:rFonts w:cs="Times New Roman"/>
          <w:sz w:val="22"/>
        </w:rPr>
        <w:t xml:space="preserve"> </w:t>
      </w:r>
      <w:r w:rsidRPr="00884A02">
        <w:rPr>
          <w:rFonts w:cs="Times New Roman"/>
          <w:i/>
          <w:sz w:val="22"/>
        </w:rPr>
        <w:t xml:space="preserve">f </w:t>
      </w:r>
      <w:r w:rsidRPr="00884A02">
        <w:rPr>
          <w:rFonts w:cs="Times New Roman"/>
          <w:sz w:val="22"/>
          <w:vertAlign w:val="superscript"/>
        </w:rPr>
        <w:t>2</w:t>
      </w:r>
      <w:r w:rsidRPr="00884A02">
        <w:rPr>
          <w:rFonts w:cs="Times New Roman"/>
          <w:sz w:val="22"/>
        </w:rPr>
        <w:t xml:space="preserve"> test. The effect size is computed as the increase in </w:t>
      </w:r>
      <w:r w:rsidRPr="00884A02">
        <w:rPr>
          <w:rFonts w:cs="Times New Roman"/>
          <w:i/>
          <w:sz w:val="22"/>
        </w:rPr>
        <w:t>R</w:t>
      </w:r>
      <w:r w:rsidRPr="00884A02">
        <w:rPr>
          <w:rFonts w:cs="Times New Roman"/>
          <w:sz w:val="22"/>
          <w:vertAlign w:val="superscript"/>
        </w:rPr>
        <w:t>2</w:t>
      </w:r>
      <w:r w:rsidRPr="00884A02">
        <w:rPr>
          <w:rFonts w:cs="Times New Roman"/>
          <w:sz w:val="22"/>
        </w:rPr>
        <w:t xml:space="preserve"> relative to the proportion of the variance that remains unexplained in the dependent variables </w:t>
      </w:r>
      <w:r w:rsidRPr="00884A02">
        <w:rPr>
          <w:rFonts w:cs="Times New Roman"/>
          <w:sz w:val="22"/>
        </w:rPr>
        <w:fldChar w:fldCharType="begin"/>
      </w:r>
      <w:r w:rsidRPr="00884A02">
        <w:rPr>
          <w:rFonts w:cs="Times New Roman"/>
          <w:sz w:val="22"/>
        </w:rPr>
        <w:instrText xml:space="preserve"> ADDIN ZOTERO_ITEM CSL_CITATION {"citationID":"6dd4f3222","properties":{"formattedCitation":"(Peng &amp; Lai, 2012)","plainCitation":"(Peng &amp; Lai, 2012)"},"citationItems":[{"id":527,"uris":["http://zotero.org/users/local/S7r2cPod/items/9FZ4S2TS"],"uri":["http://zotero.org/users/local/S7r2cPod/items/9FZ4S2TS"],"itemData":{"id":527,"type":"article-journal","title":"Using partial least squares in operations management research: A practical guideline and summary of past research","container-title":"Journal of Operations Management","page":"467-480","volume":"30","issue":"6","source":"ScienceDirect","abstract":"The partial least squares (PLS) approach to structural equation modeling (SEM) has been widely adopted in business research fields such as information systems, consumer behavior, and marketing. The use of PLS in the field of operations management is also growing. However, questions still exist among some operations management researchers regarding whether and how PLS should be used. To address these questions, our study provides a practical guideline for using PLS and uses examples from the operations management literature to demonstrate how the specific points in this guideline can be applied. In addition, our study reviews and summarizes the use of PLS in the recent operations management literature according to our guideline. The main contribution of this study is to present a practical guideline for evaluating and using PLS that is tailored to the operations management field.","ISSN":"0272-6963","shortTitle":"Using partial least squares in operations management research","journalAbbreviation":"Journal of Operations Management","author":[{"family":"Peng","given":"David Xiaosong"},{"family":"Lai","given":"Fujun"}],"issued":{"date-parts":[["2012",9]]},"accessed":{"date-parts":[["2013",11,4]]}}}],"schema":"https://github.com/citation-style-language/schema/raw/master/csl-citation.json"} </w:instrText>
      </w:r>
      <w:r w:rsidRPr="00884A02">
        <w:rPr>
          <w:rFonts w:cs="Times New Roman"/>
          <w:sz w:val="22"/>
        </w:rPr>
        <w:fldChar w:fldCharType="separate"/>
      </w:r>
      <w:r w:rsidRPr="00884A02">
        <w:rPr>
          <w:rFonts w:cs="Times New Roman"/>
          <w:sz w:val="22"/>
        </w:rPr>
        <w:t>(Peng &amp; Lai, 2012)</w:t>
      </w:r>
      <w:r w:rsidRPr="00884A02">
        <w:rPr>
          <w:rFonts w:cs="Times New Roman"/>
          <w:sz w:val="22"/>
        </w:rPr>
        <w:fldChar w:fldCharType="end"/>
      </w:r>
      <w:r w:rsidRPr="00884A02">
        <w:rPr>
          <w:rFonts w:cs="Times New Roman"/>
          <w:sz w:val="22"/>
        </w:rPr>
        <w:t xml:space="preserve">. </w:t>
      </w:r>
      <w:r w:rsidR="005D36E0" w:rsidRPr="00884A02">
        <w:rPr>
          <w:rFonts w:cs="Times New Roman"/>
          <w:sz w:val="22"/>
        </w:rPr>
        <w:t>W</w:t>
      </w:r>
      <w:r w:rsidRPr="00884A02">
        <w:rPr>
          <w:rFonts w:cs="Times New Roman"/>
          <w:sz w:val="22"/>
        </w:rPr>
        <w:t xml:space="preserve">e find that the </w:t>
      </w:r>
      <w:r w:rsidRPr="00884A02">
        <w:rPr>
          <w:rFonts w:cs="Times New Roman"/>
          <w:i/>
          <w:sz w:val="22"/>
        </w:rPr>
        <w:t xml:space="preserve">f </w:t>
      </w:r>
      <w:r w:rsidRPr="00884A02">
        <w:rPr>
          <w:rFonts w:cs="Times New Roman"/>
          <w:sz w:val="22"/>
          <w:vertAlign w:val="superscript"/>
        </w:rPr>
        <w:t xml:space="preserve">2 </w:t>
      </w:r>
      <w:r w:rsidRPr="00884A02">
        <w:rPr>
          <w:rFonts w:cs="Times New Roman"/>
          <w:sz w:val="22"/>
        </w:rPr>
        <w:t xml:space="preserve"> of term specificity for incremental innovation is 0.1</w:t>
      </w:r>
      <w:r w:rsidR="00884A02">
        <w:rPr>
          <w:rFonts w:cs="Times New Roman"/>
          <w:sz w:val="22"/>
        </w:rPr>
        <w:t>2</w:t>
      </w:r>
      <w:r w:rsidRPr="00884A02">
        <w:rPr>
          <w:rFonts w:cs="Times New Roman"/>
          <w:sz w:val="22"/>
        </w:rPr>
        <w:t xml:space="preserve"> and for radical innovation is 0.0</w:t>
      </w:r>
      <w:r w:rsidR="00884A02">
        <w:rPr>
          <w:rFonts w:cs="Times New Roman"/>
          <w:sz w:val="22"/>
        </w:rPr>
        <w:t>1</w:t>
      </w:r>
      <w:r w:rsidRPr="00884A02">
        <w:rPr>
          <w:rFonts w:cs="Times New Roman"/>
          <w:sz w:val="22"/>
        </w:rPr>
        <w:t>, w</w:t>
      </w:r>
      <w:r w:rsidRPr="008E72A8">
        <w:rPr>
          <w:rFonts w:cs="Times New Roman"/>
          <w:sz w:val="22"/>
        </w:rPr>
        <w:t xml:space="preserve">hich are considered </w:t>
      </w:r>
      <w:r w:rsidR="00884A02">
        <w:rPr>
          <w:rFonts w:cs="Times New Roman"/>
          <w:sz w:val="22"/>
        </w:rPr>
        <w:t>small and no</w:t>
      </w:r>
      <w:r w:rsidRPr="008E72A8">
        <w:rPr>
          <w:rFonts w:cs="Times New Roman"/>
          <w:sz w:val="22"/>
        </w:rPr>
        <w:t xml:space="preserve"> effect sizes respectively </w:t>
      </w:r>
      <w:r w:rsidRPr="008E72A8">
        <w:rPr>
          <w:rFonts w:cs="Times New Roman"/>
          <w:sz w:val="22"/>
        </w:rPr>
        <w:fldChar w:fldCharType="begin"/>
      </w:r>
      <w:r w:rsidR="00F34E52" w:rsidRPr="008E72A8">
        <w:rPr>
          <w:rFonts w:cs="Times New Roman"/>
          <w:sz w:val="22"/>
        </w:rPr>
        <w:instrText xml:space="preserve"> ADDIN ZOTERO_ITEM CSL_CITATION {"citationID":"214iouv6ek","properties":{"formattedCitation":"(Cohen, 1988)","plainCitation":"(Cohen, 1988)"},"citationItems":[{"id":546,"uris":["http://zotero.org/users/local/S7r2cPod/items/76NCH7S5"],"uri":["http://zotero.org/users/local/S7r2cPod/items/76NCH7S5"],"itemData":{"id":546,"type":"book","title":"Statistical power analysis for the behavioral sciences","publisher":"L. Erlbaum Associates, Hilssdale, NJ","source":"Open WorldCat","abstract":"This is a nontechnical guide to power analysis in research planning that provides users of applied statistics with the tools they need for more effective analysis. The second edition includes: a chapter covering power analysis in set correlation and multivariate methods; a chapter considering effect size, psychometric reliability, and the efficacy of \"qualifying\" dependent variables and; expanded power and sample size tables for multiple regression/correlation.","ISBN":"0805802835 9780805802832","language":"English","author":[{"family":"Cohen","given":"Jacob"}],"issued":{"date-parts":[["1988"]]}}}],"schema":"https://github.com/citation-style-language/schema/raw/master/csl-citation.json"} </w:instrText>
      </w:r>
      <w:r w:rsidRPr="008E72A8">
        <w:rPr>
          <w:rFonts w:cs="Times New Roman"/>
          <w:sz w:val="22"/>
        </w:rPr>
        <w:fldChar w:fldCharType="separate"/>
      </w:r>
      <w:r w:rsidRPr="008E72A8">
        <w:rPr>
          <w:rFonts w:cs="Times New Roman"/>
          <w:sz w:val="22"/>
        </w:rPr>
        <w:t>(Cohen, 1988)</w:t>
      </w:r>
      <w:r w:rsidRPr="008E72A8">
        <w:rPr>
          <w:rFonts w:cs="Times New Roman"/>
          <w:sz w:val="22"/>
        </w:rPr>
        <w:fldChar w:fldCharType="end"/>
      </w:r>
      <w:r w:rsidRPr="008E72A8">
        <w:rPr>
          <w:rFonts w:cs="Times New Roman"/>
          <w:sz w:val="22"/>
        </w:rPr>
        <w:t xml:space="preserve">. </w:t>
      </w:r>
    </w:p>
    <w:p w:rsidR="00884A02" w:rsidRPr="00744AF6" w:rsidRDefault="00884A02" w:rsidP="00744AF6">
      <w:pPr>
        <w:ind w:firstLine="720"/>
        <w:rPr>
          <w:color w:val="FF0000"/>
          <w:sz w:val="22"/>
        </w:rPr>
      </w:pPr>
      <w:r w:rsidRPr="00744AF6">
        <w:rPr>
          <w:sz w:val="22"/>
        </w:rPr>
        <w:t xml:space="preserve">The results in Table 2 show that Hypothesis 2A (β=0.10, </w:t>
      </w:r>
      <w:r w:rsidRPr="00744AF6">
        <w:rPr>
          <w:i/>
          <w:sz w:val="22"/>
        </w:rPr>
        <w:t>p</w:t>
      </w:r>
      <w:r w:rsidRPr="00744AF6">
        <w:rPr>
          <w:sz w:val="22"/>
        </w:rPr>
        <w:t xml:space="preserve">&lt;0.1) and 2B (β=0.38, </w:t>
      </w:r>
      <w:r w:rsidRPr="00744AF6">
        <w:rPr>
          <w:i/>
          <w:sz w:val="22"/>
        </w:rPr>
        <w:t>p</w:t>
      </w:r>
      <w:r w:rsidRPr="00744AF6">
        <w:rPr>
          <w:sz w:val="22"/>
        </w:rPr>
        <w:t xml:space="preserve">&lt;0.01) are supported. This means that paying the partner based on their performance will positively affect incremental and radical innovation. Note that hypothesis </w:t>
      </w:r>
      <w:smartTag w:uri="urn:schemas-microsoft-com:office:smarttags" w:element="metricconverter">
        <w:smartTagPr>
          <w:attr w:name="ProductID" w:val="2C"/>
        </w:smartTagPr>
        <w:r w:rsidRPr="00744AF6">
          <w:rPr>
            <w:sz w:val="22"/>
          </w:rPr>
          <w:t>2C</w:t>
        </w:r>
      </w:smartTag>
      <w:r w:rsidRPr="00744AF6">
        <w:rPr>
          <w:sz w:val="22"/>
        </w:rPr>
        <w:t xml:space="preserve"> is also supported given the higher beta coefficient for radical innovation. This means that pay-for-performance has a stronger effect on radical than on incremental innovation. This is also reflected in the medium (i.e., 0.15) and small (i.e., 0.06)</w:t>
      </w:r>
      <w:r w:rsidRPr="00744AF6">
        <w:rPr>
          <w:sz w:val="22"/>
          <w:vertAlign w:val="superscript"/>
        </w:rPr>
        <w:t xml:space="preserve"> </w:t>
      </w:r>
      <w:r w:rsidRPr="00744AF6">
        <w:rPr>
          <w:sz w:val="22"/>
        </w:rPr>
        <w:t>effects sizes (</w:t>
      </w:r>
      <w:r w:rsidRPr="00744AF6">
        <w:rPr>
          <w:i/>
          <w:sz w:val="22"/>
        </w:rPr>
        <w:t xml:space="preserve">f </w:t>
      </w:r>
      <w:r w:rsidRPr="00744AF6">
        <w:rPr>
          <w:sz w:val="22"/>
          <w:vertAlign w:val="superscript"/>
        </w:rPr>
        <w:t>2</w:t>
      </w:r>
      <w:r w:rsidRPr="00744AF6">
        <w:rPr>
          <w:sz w:val="22"/>
        </w:rPr>
        <w:t>)</w:t>
      </w:r>
      <w:r w:rsidRPr="00744AF6">
        <w:rPr>
          <w:sz w:val="22"/>
          <w:vertAlign w:val="superscript"/>
        </w:rPr>
        <w:t xml:space="preserve"> </w:t>
      </w:r>
      <w:r w:rsidRPr="00744AF6">
        <w:rPr>
          <w:sz w:val="22"/>
        </w:rPr>
        <w:t xml:space="preserve">for radical and incremental innovation respectively. </w:t>
      </w:r>
    </w:p>
    <w:p w:rsidR="00744AF6" w:rsidRPr="00744AF6" w:rsidRDefault="00744AF6" w:rsidP="00744AF6">
      <w:pPr>
        <w:ind w:firstLine="720"/>
        <w:jc w:val="left"/>
        <w:rPr>
          <w:rFonts w:cs="Times New Roman"/>
          <w:sz w:val="22"/>
        </w:rPr>
      </w:pPr>
      <w:r w:rsidRPr="00744AF6">
        <w:rPr>
          <w:sz w:val="22"/>
        </w:rPr>
        <w:t>H</w:t>
      </w:r>
      <w:r w:rsidR="00884A02" w:rsidRPr="00744AF6">
        <w:rPr>
          <w:sz w:val="22"/>
        </w:rPr>
        <w:t xml:space="preserve">ypothesis 3A is refuted; there is a significant </w:t>
      </w:r>
      <w:r w:rsidR="00884A02" w:rsidRPr="00744AF6">
        <w:rPr>
          <w:i/>
          <w:sz w:val="22"/>
        </w:rPr>
        <w:t xml:space="preserve">positive </w:t>
      </w:r>
      <w:r w:rsidR="00884A02" w:rsidRPr="00744AF6">
        <w:rPr>
          <w:sz w:val="22"/>
        </w:rPr>
        <w:t xml:space="preserve">moderation effect of risk-aversion on the relationship between pay-for-performance and incremental innovation (β=0.13, </w:t>
      </w:r>
      <w:r w:rsidR="00884A02" w:rsidRPr="00744AF6">
        <w:rPr>
          <w:i/>
          <w:sz w:val="22"/>
        </w:rPr>
        <w:t>p</w:t>
      </w:r>
      <w:r w:rsidR="00884A02" w:rsidRPr="00744AF6">
        <w:rPr>
          <w:sz w:val="22"/>
        </w:rPr>
        <w:t xml:space="preserve">&lt;0.01). This means that pay-for-performance has a stronger positive effect on incremental innovation when the partner is risk-averse. To better understand the form of the moderation effect, we plotted this effect in Figure 2a. Consistent with the positive interaction term, the plot shows a positive relationship between </w:t>
      </w:r>
      <w:r w:rsidR="00884A02" w:rsidRPr="00744AF6">
        <w:rPr>
          <w:sz w:val="22"/>
        </w:rPr>
        <w:lastRenderedPageBreak/>
        <w:t xml:space="preserve">pay-for-performance and incremental innovation when the partner’s degree of risk-aversion is high. Table 2 further shows that there is a positive moderation effect of risk-aversion on the relationship between pay-for-performance and radical innovation, thus leading us to refute hypothesis 3B. The interaction term is positive and significant (β=0.27, </w:t>
      </w:r>
      <w:r w:rsidR="00884A02" w:rsidRPr="00744AF6">
        <w:rPr>
          <w:i/>
          <w:sz w:val="22"/>
        </w:rPr>
        <w:t>p</w:t>
      </w:r>
      <w:r w:rsidR="00884A02" w:rsidRPr="00744AF6">
        <w:rPr>
          <w:sz w:val="22"/>
        </w:rPr>
        <w:t>&lt;0.01)</w:t>
      </w:r>
      <w:r w:rsidRPr="00744AF6">
        <w:rPr>
          <w:sz w:val="22"/>
        </w:rPr>
        <w:t>. T</w:t>
      </w:r>
      <w:r w:rsidR="00884A02" w:rsidRPr="00744AF6">
        <w:rPr>
          <w:sz w:val="22"/>
        </w:rPr>
        <w:t xml:space="preserve">he plot in Figure 2b shows that there is a positive effect of pay-for-performance on radical innovation for providers with a high degree of risk-aversion. Finally, the higher beta coefficient for the moderation effect for radical innovation suggests indeed a stronger moderation effect for radical innovation than for incremental innovation; yet, this effect is positive and not negative. Hence, hypothesis </w:t>
      </w:r>
      <w:smartTag w:uri="urn:schemas-microsoft-com:office:smarttags" w:element="metricconverter">
        <w:smartTagPr>
          <w:attr w:name="ProductID" w:val="3C"/>
        </w:smartTagPr>
        <w:r w:rsidR="00884A02" w:rsidRPr="00744AF6">
          <w:rPr>
            <w:sz w:val="22"/>
          </w:rPr>
          <w:t>3C</w:t>
        </w:r>
      </w:smartTag>
      <w:r w:rsidR="00884A02" w:rsidRPr="00744AF6">
        <w:rPr>
          <w:sz w:val="22"/>
        </w:rPr>
        <w:t xml:space="preserve"> is also refuted. The effect sizes (</w:t>
      </w:r>
      <w:r w:rsidR="00884A02" w:rsidRPr="00744AF6">
        <w:rPr>
          <w:i/>
          <w:sz w:val="22"/>
        </w:rPr>
        <w:t xml:space="preserve">f </w:t>
      </w:r>
      <w:r w:rsidR="00884A02" w:rsidRPr="00744AF6">
        <w:rPr>
          <w:sz w:val="22"/>
          <w:vertAlign w:val="superscript"/>
        </w:rPr>
        <w:t>2</w:t>
      </w:r>
      <w:r w:rsidR="00884A02" w:rsidRPr="00744AF6">
        <w:rPr>
          <w:sz w:val="22"/>
        </w:rPr>
        <w:t xml:space="preserve">) of the moderation effect are 0.05 and 0.08 for incremental and radical innovation respectively. Note however, even though effect sizes of 0.02-0.14 may be regarded as small, </w:t>
      </w:r>
      <w:r w:rsidR="00884A02" w:rsidRPr="00744AF6">
        <w:rPr>
          <w:sz w:val="22"/>
        </w:rPr>
        <w:fldChar w:fldCharType="begin"/>
      </w:r>
      <w:r w:rsidR="00884A02" w:rsidRPr="00744AF6">
        <w:rPr>
          <w:sz w:val="22"/>
        </w:rPr>
        <w:instrText xml:space="preserve"> ADDIN ZOTERO_ITEM CSL_CITATION {"citationID":"130pnbq2as","properties":{"formattedCitation":"(W. W. Chin, Marcolin, &amp; Newsted, 2003)","plainCitation":"(W. W. Chin, Marcolin, &amp; Newsted, 2003)","dontUpdate":true},"citationItems":[{"id":553,"uris":["http://zotero.org/users/local/S7r2cPod/items/Q5KGK4H7"],"uri":["http://zotero.org/users/local/S7r2cPod/items/Q5KGK4H7"],"itemData":{"id":553,"type":"article-journal","title":"A partial least squares latent variable modeling approach for measuring interaction effects: Results from a Monte Carlo simulation study and an electronic-mail emotion/adoption study","container-title":"Information Systems Research","page":"189-217","volume":"14","issue":"2","source":"CrossRef","ISSN":"1047-7047, 1526-5536","shortTitle":"A Partial Least Squares Latent Variable Modeling Approach for Measuring Interaction Effects","author":[{"family":"Chin","given":"Wynne W."},{"family":"Marcolin","given":"Barbara L."},{"family":"Newsted","given":"Peter R."}],"issued":{"date-parts":[["2003",6]]},"accessed":{"date-parts":[["2013",11,7]]}}}],"schema":"https://github.com/citation-style-language/schema/raw/master/csl-citation.json"} </w:instrText>
      </w:r>
      <w:r w:rsidR="00884A02" w:rsidRPr="00744AF6">
        <w:rPr>
          <w:sz w:val="22"/>
        </w:rPr>
        <w:fldChar w:fldCharType="separate"/>
      </w:r>
      <w:r w:rsidR="00884A02" w:rsidRPr="00744AF6">
        <w:rPr>
          <w:sz w:val="22"/>
        </w:rPr>
        <w:t>Chin et al. (2003)</w:t>
      </w:r>
      <w:r w:rsidR="00884A02" w:rsidRPr="00744AF6">
        <w:rPr>
          <w:sz w:val="22"/>
        </w:rPr>
        <w:fldChar w:fldCharType="end"/>
      </w:r>
      <w:r w:rsidR="00884A02" w:rsidRPr="00744AF6">
        <w:rPr>
          <w:sz w:val="22"/>
        </w:rPr>
        <w:t xml:space="preserve"> </w:t>
      </w:r>
      <w:r w:rsidRPr="00744AF6">
        <w:rPr>
          <w:rFonts w:cs="Times New Roman"/>
          <w:sz w:val="22"/>
        </w:rPr>
        <w:t xml:space="preserve">may be regarded as small, </w:t>
      </w:r>
      <w:r w:rsidRPr="00744AF6">
        <w:rPr>
          <w:rFonts w:cs="Times New Roman"/>
          <w:sz w:val="22"/>
        </w:rPr>
        <w:fldChar w:fldCharType="begin"/>
      </w:r>
      <w:r w:rsidRPr="00744AF6">
        <w:rPr>
          <w:rFonts w:cs="Times New Roman"/>
          <w:sz w:val="22"/>
        </w:rPr>
        <w:instrText xml:space="preserve"> ADDIN ZOTERO_ITEM CSL_CITATION {"citationID":"130pnbq2as","properties":{"formattedCitation":"(W. W. Chin, Marcolin, &amp; Newsted, 2003)","plainCitation":"(W. W. Chin, Marcolin, &amp; Newsted, 2003)","dontUpdate":true},"citationItems":[{"id":553,"uris":["http://zotero.org/users/local/S7r2cPod/items/Q5KGK4H7"],"uri":["http://zotero.org/users/local/S7r2cPod/items/Q5KGK4H7"],"itemData":{"id":553,"type":"article-journal","title":"A partial least squares latent variable modeling approach for measuring interaction effects: Results from a Monte Carlo simulation study and an electronic-mail emotion/adoption study","container-title":"Information Systems Research","page":"189-217","volume":"14","issue":"2","source":"CrossRef","ISSN":"1047-7047, 1526-5536","shortTitle":"A Partial Least Squares Latent Variable Modeling Approach for Measuring Interaction Effects","author":[{"family":"Chin","given":"Wynne W."},{"family":"Marcolin","given":"Barbara L."},{"family":"Newsted","given":"Peter R."}],"issued":{"date-parts":[["2003",6]]},"accessed":{"date-parts":[["2013",11,7]]}}}],"schema":"https://github.com/citation-style-language/schema/raw/master/csl-citation.json"} </w:instrText>
      </w:r>
      <w:r w:rsidRPr="00744AF6">
        <w:rPr>
          <w:rFonts w:cs="Times New Roman"/>
          <w:sz w:val="22"/>
        </w:rPr>
        <w:fldChar w:fldCharType="separate"/>
      </w:r>
      <w:r w:rsidRPr="00744AF6">
        <w:rPr>
          <w:rFonts w:cs="Times New Roman"/>
          <w:sz w:val="22"/>
        </w:rPr>
        <w:t>Chin et al., (2003)</w:t>
      </w:r>
      <w:r w:rsidRPr="00744AF6">
        <w:rPr>
          <w:rFonts w:cs="Times New Roman"/>
          <w:sz w:val="22"/>
        </w:rPr>
        <w:fldChar w:fldCharType="end"/>
      </w:r>
      <w:r w:rsidRPr="00744AF6">
        <w:rPr>
          <w:rFonts w:cs="Times New Roman"/>
          <w:sz w:val="22"/>
        </w:rPr>
        <w:t xml:space="preserve"> state that a low effect size does not necessarily imply that the underlying moderator effect is negligible. Even small effect sizes can be meaningful under extreme moderating conditions and, thus, should these conditions be taken into account as well. </w:t>
      </w:r>
    </w:p>
    <w:p w:rsidR="00094413" w:rsidRPr="008E72A8" w:rsidRDefault="00094413" w:rsidP="003E6DC6">
      <w:pPr>
        <w:ind w:firstLine="720"/>
        <w:jc w:val="left"/>
        <w:rPr>
          <w:rFonts w:cs="Times New Roman"/>
          <w:sz w:val="22"/>
        </w:rPr>
      </w:pPr>
    </w:p>
    <w:p w:rsidR="00094413" w:rsidRPr="008E72A8" w:rsidRDefault="00094413" w:rsidP="00CE14BE">
      <w:pPr>
        <w:autoSpaceDE w:val="0"/>
        <w:autoSpaceDN w:val="0"/>
        <w:adjustRightInd w:val="0"/>
        <w:spacing w:before="120"/>
        <w:jc w:val="center"/>
        <w:rPr>
          <w:rFonts w:cs="Times New Roman"/>
          <w:sz w:val="22"/>
        </w:rPr>
      </w:pPr>
      <w:r w:rsidRPr="008E72A8">
        <w:rPr>
          <w:rFonts w:cs="Times New Roman"/>
          <w:sz w:val="22"/>
        </w:rPr>
        <w:t>----------------------------------</w:t>
      </w:r>
    </w:p>
    <w:p w:rsidR="00094413" w:rsidRPr="008E72A8" w:rsidRDefault="00094413" w:rsidP="00CE14BE">
      <w:pPr>
        <w:autoSpaceDE w:val="0"/>
        <w:autoSpaceDN w:val="0"/>
        <w:adjustRightInd w:val="0"/>
        <w:jc w:val="center"/>
        <w:rPr>
          <w:rFonts w:cs="Times New Roman"/>
          <w:sz w:val="22"/>
        </w:rPr>
      </w:pPr>
      <w:r w:rsidRPr="008E72A8">
        <w:rPr>
          <w:rFonts w:cs="Times New Roman"/>
          <w:sz w:val="22"/>
        </w:rPr>
        <w:t>Insert Figure 2A&amp;2B Here</w:t>
      </w:r>
    </w:p>
    <w:p w:rsidR="00094413" w:rsidRPr="008E72A8" w:rsidRDefault="00094413" w:rsidP="00CE14BE">
      <w:pPr>
        <w:autoSpaceDE w:val="0"/>
        <w:autoSpaceDN w:val="0"/>
        <w:adjustRightInd w:val="0"/>
        <w:spacing w:after="120"/>
        <w:jc w:val="center"/>
        <w:rPr>
          <w:rFonts w:cs="Times New Roman"/>
          <w:sz w:val="22"/>
        </w:rPr>
      </w:pPr>
      <w:r w:rsidRPr="008E72A8">
        <w:rPr>
          <w:rFonts w:cs="Times New Roman"/>
          <w:sz w:val="22"/>
        </w:rPr>
        <w:t>----------------------------------</w:t>
      </w:r>
    </w:p>
    <w:p w:rsidR="00CE14BE" w:rsidRPr="008E72A8" w:rsidRDefault="00CE14BE" w:rsidP="00CE14BE">
      <w:pPr>
        <w:pStyle w:val="Heading1"/>
        <w:rPr>
          <w:sz w:val="22"/>
          <w:szCs w:val="22"/>
        </w:rPr>
      </w:pPr>
      <w:r w:rsidRPr="008E72A8">
        <w:rPr>
          <w:sz w:val="22"/>
          <w:szCs w:val="22"/>
        </w:rPr>
        <w:t>CONCLUSIONS AND DISCUSSION</w:t>
      </w:r>
    </w:p>
    <w:p w:rsidR="00CE14BE" w:rsidRPr="008E72A8" w:rsidRDefault="00CE14BE" w:rsidP="0052794F">
      <w:pPr>
        <w:autoSpaceDE w:val="0"/>
        <w:autoSpaceDN w:val="0"/>
        <w:adjustRightInd w:val="0"/>
        <w:ind w:firstLine="720"/>
        <w:rPr>
          <w:rFonts w:cs="Times New Roman"/>
          <w:sz w:val="22"/>
        </w:rPr>
      </w:pPr>
      <w:r w:rsidRPr="0052794F">
        <w:rPr>
          <w:sz w:val="22"/>
        </w:rPr>
        <w:t>Though authors have suggested that PBCs have a positive effect on innovation, they have not exp</w:t>
      </w:r>
      <w:r w:rsidR="008E72A8" w:rsidRPr="0052794F">
        <w:rPr>
          <w:sz w:val="22"/>
        </w:rPr>
        <w:t>lained how this effect may occur</w:t>
      </w:r>
      <w:r w:rsidRPr="0052794F">
        <w:rPr>
          <w:sz w:val="22"/>
        </w:rPr>
        <w:t xml:space="preserve">. A PBC is a contract that the parties have intentionally left incomplete, and it has two characteristics: </w:t>
      </w:r>
      <w:r w:rsidRPr="0052794F">
        <w:rPr>
          <w:i/>
          <w:sz w:val="22"/>
        </w:rPr>
        <w:t>low term specificity</w:t>
      </w:r>
      <w:r w:rsidRPr="0052794F">
        <w:rPr>
          <w:sz w:val="22"/>
        </w:rPr>
        <w:t xml:space="preserve"> and </w:t>
      </w:r>
      <w:r w:rsidRPr="0052794F">
        <w:rPr>
          <w:i/>
          <w:sz w:val="22"/>
        </w:rPr>
        <w:t>pay-for-performance</w:t>
      </w:r>
      <w:r w:rsidRPr="0052794F">
        <w:rPr>
          <w:sz w:val="22"/>
        </w:rPr>
        <w:t>. We provided empirical evidence on how these two contractual characteristics affect inn</w:t>
      </w:r>
      <w:r w:rsidR="00011F51" w:rsidRPr="0052794F">
        <w:rPr>
          <w:sz w:val="22"/>
        </w:rPr>
        <w:t xml:space="preserve">ovation. </w:t>
      </w:r>
      <w:r w:rsidRPr="0052794F">
        <w:rPr>
          <w:sz w:val="22"/>
        </w:rPr>
        <w:t xml:space="preserve">First, </w:t>
      </w:r>
      <w:r w:rsidR="00011F51" w:rsidRPr="0052794F">
        <w:rPr>
          <w:sz w:val="22"/>
        </w:rPr>
        <w:t xml:space="preserve">we found that term specificity </w:t>
      </w:r>
      <w:r w:rsidRPr="0052794F">
        <w:rPr>
          <w:sz w:val="22"/>
        </w:rPr>
        <w:t xml:space="preserve">has an inverse-U effect on incremental innovation, meaning that to achieve incremental innovation the contract should contain a certain degree of term specificity, but the contract should not be too detailed. On the other hand, </w:t>
      </w:r>
      <w:r w:rsidR="00744AF6" w:rsidRPr="0052794F">
        <w:rPr>
          <w:sz w:val="22"/>
        </w:rPr>
        <w:t>we found</w:t>
      </w:r>
      <w:r w:rsidRPr="0052794F">
        <w:rPr>
          <w:sz w:val="22"/>
        </w:rPr>
        <w:t xml:space="preserve"> that there is a negative effect on term spe</w:t>
      </w:r>
      <w:r w:rsidR="00744AF6" w:rsidRPr="0052794F">
        <w:rPr>
          <w:sz w:val="22"/>
        </w:rPr>
        <w:t>cificity and radical innovation</w:t>
      </w:r>
      <w:r w:rsidRPr="0052794F">
        <w:rPr>
          <w:sz w:val="22"/>
        </w:rPr>
        <w:t xml:space="preserve">. Second, in line with our theoretical model, we found that pay-for-performance </w:t>
      </w:r>
      <w:r w:rsidR="00744AF6" w:rsidRPr="0052794F">
        <w:rPr>
          <w:sz w:val="22"/>
        </w:rPr>
        <w:t xml:space="preserve">has a stronger positive effect on radical than on incremental innovation. </w:t>
      </w:r>
      <w:r w:rsidRPr="0052794F">
        <w:rPr>
          <w:sz w:val="22"/>
        </w:rPr>
        <w:t>Third, we found that the partner’s degree of risk-</w:t>
      </w:r>
      <w:r w:rsidR="00744AF6" w:rsidRPr="0052794F">
        <w:rPr>
          <w:sz w:val="22"/>
        </w:rPr>
        <w:t>aversion negatively moderates the relationship between pay-for-performance and incremental and radical innovation. This effect was found to be stronger for radical than for incremental innovation.</w:t>
      </w:r>
      <w:r w:rsidRPr="0052794F">
        <w:rPr>
          <w:sz w:val="22"/>
        </w:rPr>
        <w:t xml:space="preserve"> </w:t>
      </w:r>
      <w:r w:rsidR="0052794F" w:rsidRPr="0052794F">
        <w:rPr>
          <w:sz w:val="22"/>
        </w:rPr>
        <w:t xml:space="preserve">This is in contrast to our expectations that risk-aversion would have a negative moderation effect. A plausible explanation for this finding can be found when considering the pressure the partner experiences. Risk-averse partners would generally be considered less likely to accept contracts with outcome-based compensation because of the uncertain income streams. As “outcomes are only partly a function of behaviors” (Eisenhardt, 1989, p. 61), other factors that may influence outcomes (i.e., </w:t>
      </w:r>
      <w:r w:rsidR="0052794F" w:rsidRPr="0052794F">
        <w:rPr>
          <w:sz w:val="22"/>
          <w:lang w:val="en-GB"/>
        </w:rPr>
        <w:t>external contingencies such as macro-economic conditions) may be outside the partner’s control. Partners that are risk-averse will weigh these possible external influences heavier than their own influence on the outcome, and will possibly even seek to avoid pay-for-performance reward schemes. However, in some situations, partners may be forced in</w:t>
      </w:r>
      <w:r w:rsidR="0052794F">
        <w:rPr>
          <w:sz w:val="22"/>
          <w:lang w:val="en-GB"/>
        </w:rPr>
        <w:t>to a pay-for-performance clause</w:t>
      </w:r>
      <w:r w:rsidR="0052794F" w:rsidRPr="0052794F">
        <w:rPr>
          <w:sz w:val="22"/>
          <w:lang w:val="en-GB"/>
        </w:rPr>
        <w:t>. Under such conditions, risk-averse partners will experience pressure to perform, as the consequences of not meeting performance targets could have substantial financial consequences. Such performance pressure</w:t>
      </w:r>
      <w:r w:rsidR="0052794F" w:rsidRPr="0052794F">
        <w:rPr>
          <w:sz w:val="22"/>
        </w:rPr>
        <w:t xml:space="preserve"> dri</w:t>
      </w:r>
      <w:r w:rsidR="0052794F" w:rsidRPr="005C3BBA">
        <w:rPr>
          <w:sz w:val="22"/>
        </w:rPr>
        <w:t xml:space="preserve">ves </w:t>
      </w:r>
      <w:r w:rsidR="0052794F" w:rsidRPr="005C3BBA">
        <w:rPr>
          <w:sz w:val="22"/>
          <w:lang w:val="en-GB"/>
        </w:rPr>
        <w:t xml:space="preserve">organizations to more strongly value creative ideas and, thus, act on the outcomes of a creative climate </w:t>
      </w:r>
      <w:r w:rsidR="0052794F" w:rsidRPr="005C3BBA">
        <w:rPr>
          <w:sz w:val="22"/>
          <w:lang w:val="en-GB"/>
        </w:rPr>
        <w:fldChar w:fldCharType="begin"/>
      </w:r>
      <w:r w:rsidR="0052794F" w:rsidRPr="005C3BBA">
        <w:rPr>
          <w:sz w:val="22"/>
          <w:lang w:val="en-GB"/>
        </w:rPr>
        <w:instrText xml:space="preserve"> ADDIN ZOTERO_ITEM CSL_CITATION {"citationID":"264abhkr47","properties":{"formattedCitation":"(Hunter, Bedell, &amp; Mumford, 2007; Janssen, Vliert, &amp; West, 2004)","plainCitation":"(Hunter, Bedell, &amp; Mumford, 2007; Janssen, Vliert, &amp; West, 2004)"},"citationItems":[{"id":607,"uris":["http://zotero.org/users/local/S7r2cPod/items/P4ES6DTP"],"uri":["http://zotero.org/users/local/S7r2cPod/items/P4ES6DTP"],"itemData":{"id":607,"type":"article-journal","title":"Climate for creativity: A quantitative review","container-title":"Creativity Research Journal","page":"69-90","volume":"19","issue":"1","source":"Taylor and Francis+NEJM","abstract":"Abstract Creativity is commonly held to emerge from an interaction of the person and the situation. In studies of creativity, situational influences are commonly assessed by using climate measures. In the present effort, a meta-analysis was conducted to examine 42 prior studies in which the relationships between climate dimensions, such as support and autonomy, and various indices of creative performance were assessed. These climate dimensions were found to be effective predictors of creative performance across criteria, samples, and settings. It was found, moreover, that these dimensions were especially effective predictors of creative performance in turbulent, high-pressure, competitive environments. The implications of these findings for understanding environmental influences on creativity and innovation are discussed.","ISSN":"1040-0419","shortTitle":"Climate for Creativity","author":[{"family":"Hunter","given":"Samuel T."},{"family":"Bedell","given":"Katrina E."},{"family":"Mumford","given":"Michael D."}],"issued":{"date-parts":[["2007"]]},"accessed":{"date-parts":[["2014",1,31]],"season":"14:59:13"}}},{"id":605,"uris":["http://zotero.org/users/local/S7r2cPod/items/7RKTRJFA"],"uri":["http://zotero.org/users/local/S7r2cPod/items/7RKTRJFA"],"itemData":{"id":605,"type":"article-journal","title":"The bright and dark sides of individual and group innovation: A special issue introduction","container-title":"Journal of Organizational Behavior","page":"129-145","volume":"25","issue":"2","source":"JSTOR","abstract":"This introduction essay proposes a challenging program for researchers eager to explore factors and process mechanisms contributing to the benefits and costs individuals and groups incur from pursuing innovative approaches. With respect to individual innovation, such moderating factors might be found in the characteristics of the innovative idea, the innovator, co-workers, supervisors, the broader organizational context, and in national culture. Examples of factors that are likely to shape the beneficial and detrimental outcomes of group innovation include knowledge, skills and ability of group members, group tenure, diversity among group members, group processes (clarifying group objectives, participation, constructive management of competing perspectives), and external demands on groups. This Special Issue contains a state-of-the-science paper, three articles dealing with the benefits and costs of individual innovation, and three articles addressing the bright and dark sides of group innovation.","ISSN":"0894-3796","shortTitle":"The Bright and Dark Sides of Individual and Group Innovation","journalAbbreviation":"Journal of Organizational Behavior","author":[{"family":"Janssen","given":"Onne"},{"family":"Vliert","given":"Evert van de"},{"family":"West","given":"Michael"}],"issued":{"date-parts":[["2004",3,1]]},"accessed":{"date-parts":[["2014",1,31]],"season":"14:58:14"}}}],"schema":"https://github.com/citation-style-language/schema/raw/master/csl-citation.json"} </w:instrText>
      </w:r>
      <w:r w:rsidR="0052794F" w:rsidRPr="005C3BBA">
        <w:rPr>
          <w:sz w:val="22"/>
          <w:lang w:val="en-GB"/>
        </w:rPr>
        <w:fldChar w:fldCharType="separate"/>
      </w:r>
      <w:r w:rsidR="0052794F" w:rsidRPr="005C3BBA">
        <w:rPr>
          <w:sz w:val="22"/>
        </w:rPr>
        <w:t>(Hunter, Bedell, &amp; Mumford, 200</w:t>
      </w:r>
      <w:r w:rsidR="006E23B2" w:rsidRPr="005C3BBA">
        <w:rPr>
          <w:sz w:val="22"/>
        </w:rPr>
        <w:t>7</w:t>
      </w:r>
      <w:r w:rsidR="0052794F" w:rsidRPr="005C3BBA">
        <w:rPr>
          <w:sz w:val="22"/>
        </w:rPr>
        <w:t>)</w:t>
      </w:r>
      <w:r w:rsidR="0052794F" w:rsidRPr="005C3BBA">
        <w:rPr>
          <w:sz w:val="22"/>
          <w:lang w:val="en-GB"/>
        </w:rPr>
        <w:fldChar w:fldCharType="end"/>
      </w:r>
      <w:r w:rsidR="0052794F" w:rsidRPr="005C3BBA">
        <w:rPr>
          <w:sz w:val="22"/>
          <w:lang w:val="en-GB"/>
        </w:rPr>
        <w:t xml:space="preserve">. </w:t>
      </w:r>
      <w:r w:rsidR="0052794F" w:rsidRPr="005C3BBA">
        <w:rPr>
          <w:bCs/>
          <w:sz w:val="22"/>
        </w:rPr>
        <w:t xml:space="preserve">Such pressure may </w:t>
      </w:r>
      <w:r w:rsidR="0052794F" w:rsidRPr="005C3BBA">
        <w:rPr>
          <w:sz w:val="22"/>
        </w:rPr>
        <w:t xml:space="preserve">elicit creative thinking and persistence toward deriving solutions </w:t>
      </w:r>
      <w:r w:rsidR="0052794F" w:rsidRPr="005C3BBA">
        <w:rPr>
          <w:sz w:val="22"/>
        </w:rPr>
        <w:fldChar w:fldCharType="begin"/>
      </w:r>
      <w:r w:rsidR="0052794F" w:rsidRPr="005C3BBA">
        <w:rPr>
          <w:sz w:val="22"/>
        </w:rPr>
        <w:instrText xml:space="preserve"> ADDIN ZOTERO_ITEM CSL_CITATION {"citationID":"8qlt9nkst","properties":{"formattedCitation":"(Anderson, De Dreu, &amp; Nijstad, 2004; Nicol &amp; Long, 1996)","plainCitation":"(Anderson, De Dreu, &amp; Nijstad, 2004; Nicol &amp; Long, 1996)"},"citationItems":[{"id":580,"uris":["http://zotero.org/users/local/S7r2cPod/items/ZVQFZ4F7"],"uri":["http://zotero.org/users/local/S7r2cPod/items/ZVQFZ4F7"],"itemData":{"id":580,"type":"article-journal","title":"The routinization of innovation research: a constructively critical review of the state-of-the-science","container-title":"Journal of Organizational Behavior","page":"147–173","volume":"25","issue":"2","source":"Wiley Online Library","abstract":"In this review we argue that facilitators of innovation at the individual, group, and organizational levels have been reliably identified, and that validated process models of innovation have been developed. However, a content analysis of selected research published between 1997 and 2002 suggests a routinization of innovation research, with a heavy focus on replication–extension, cross-sectional designs, and a single level of analysis. We discuss five innovative pathways for future work: Study innovation as an independent variable, across cultures, within a multi-level framework, and use meta-analysis and triangulation. To illustrate we propose a ‘distress-related innovation’ model of the relations between negatively connotated variables and innovation at the individual, group, and organizational levels of analysis. Copyright © 2004 John Wiley &amp; Sons, Ltd.","ISSN":"1099-1379","shortTitle":"The routinization of innovation research","language":"en","author":[{"family":"Anderson","given":""},{"family":"De Dreu","given":""},{"family":"Nijstad","given":""}],"issued":{"date-parts":[["2004"]]},"accessed":{"date-parts":[["2014",1,28]],"season":"16:23:02"}}},{"id":583,"uris":["http://zotero.org/users/local/S7r2cPod/items/A3XP54VN"],"uri":["http://zotero.org/users/local/S7r2cPod/items/A3XP54VN"],"itemData":{"id":583,"type":"article-journal","title":"Creativity and perceived stress of female music therapists and hobbyists","container-title":"Creativity Research Journal","page":"1-10","volume":"9","issue":"1","source":"Taylor and Francis+NEJM","abstract":"Anecdotal and theoretical accounts suggest that creativity may reduce stress and enhance coping ability. We therefore hypothesized that higher levels of creativity would be associated with lower levels of stress. Ninety-five female nonprofessional musicians (49 music therapists and 46 music hobbyists) participated in the study. Analysis included a hierarchical multiple regression that used type of musician (therapist or hobbyist), creative thinking, creative personality, and creative behavior as predictors. A significant Type of Musician × Creative Thinking interaction indicated that lower stress levels were associated with higher levels of creative thinking for music hobbyists. For music therapists, there was no relation between creative thinking and stress. These findings implicate creative thinking as a coping resource in the stress-coping process for adult female music hobbyists.","ISSN":"1040-0419","author":[{"family":"Nicol","given":"Jennifer James"},{"family":"Long","given":"Bonita C."}],"issued":{"date-parts":[["1996"]]},"accessed":{"date-parts":[["2014",1,28]],"season":"16:23:51"}}}],"schema":"https://github.com/citation-style-language/schema/raw/master/csl-citation.json"} </w:instrText>
      </w:r>
      <w:r w:rsidR="0052794F" w:rsidRPr="005C3BBA">
        <w:rPr>
          <w:sz w:val="22"/>
        </w:rPr>
        <w:fldChar w:fldCharType="separate"/>
      </w:r>
      <w:r w:rsidR="0052794F" w:rsidRPr="005C3BBA">
        <w:rPr>
          <w:sz w:val="22"/>
        </w:rPr>
        <w:t>(e.g., Anderson, De Dreu, &amp; Nijstad, 2004)</w:t>
      </w:r>
      <w:r w:rsidR="0052794F" w:rsidRPr="005C3BBA">
        <w:rPr>
          <w:sz w:val="22"/>
        </w:rPr>
        <w:fldChar w:fldCharType="end"/>
      </w:r>
      <w:r w:rsidR="0052794F" w:rsidRPr="005C3BBA">
        <w:rPr>
          <w:sz w:val="22"/>
        </w:rPr>
        <w:t xml:space="preserve"> that lead to the desired performance. </w:t>
      </w:r>
      <w:r w:rsidR="0052794F" w:rsidRPr="005C3BBA">
        <w:rPr>
          <w:sz w:val="22"/>
          <w:lang w:val="en-GB"/>
        </w:rPr>
        <w:t>Although the consequences of not meeting performance targets may be equally severe for both risk-averse and non risk-averse partners, the latter will experience less pressure since they ar</w:t>
      </w:r>
      <w:r w:rsidR="0052794F" w:rsidRPr="0052794F">
        <w:rPr>
          <w:sz w:val="22"/>
          <w:lang w:val="en-GB"/>
        </w:rPr>
        <w:t xml:space="preserve">e more used to be in this kind of situation and are more open to taking risks. </w:t>
      </w:r>
    </w:p>
    <w:p w:rsidR="0052794F" w:rsidRPr="0052794F" w:rsidRDefault="00011F51" w:rsidP="0052794F">
      <w:pPr>
        <w:ind w:firstLine="720"/>
        <w:rPr>
          <w:sz w:val="22"/>
        </w:rPr>
      </w:pPr>
      <w:r w:rsidRPr="008E72A8">
        <w:rPr>
          <w:rFonts w:cs="Times New Roman"/>
          <w:i/>
          <w:sz w:val="22"/>
        </w:rPr>
        <w:t>T</w:t>
      </w:r>
      <w:r w:rsidR="00CE14BE" w:rsidRPr="008E72A8">
        <w:rPr>
          <w:rFonts w:cs="Times New Roman"/>
          <w:i/>
          <w:sz w:val="22"/>
        </w:rPr>
        <w:t>heoretical contributions</w:t>
      </w:r>
      <w:r w:rsidRPr="008E72A8">
        <w:rPr>
          <w:rFonts w:cs="Times New Roman"/>
          <w:i/>
          <w:sz w:val="22"/>
        </w:rPr>
        <w:t>:</w:t>
      </w:r>
      <w:r w:rsidR="00CE14BE" w:rsidRPr="008E72A8">
        <w:rPr>
          <w:rFonts w:cs="Times New Roman"/>
          <w:sz w:val="22"/>
        </w:rPr>
        <w:t xml:space="preserve"> </w:t>
      </w:r>
      <w:r w:rsidR="0052794F" w:rsidRPr="0052794F">
        <w:rPr>
          <w:sz w:val="22"/>
        </w:rPr>
        <w:t>First, our study adds to th</w:t>
      </w:r>
      <w:r w:rsidR="0052794F">
        <w:rPr>
          <w:sz w:val="22"/>
        </w:rPr>
        <w:t xml:space="preserve">e limited stream of research on </w:t>
      </w:r>
      <w:r w:rsidR="0052794F" w:rsidRPr="0052794F">
        <w:rPr>
          <w:sz w:val="22"/>
        </w:rPr>
        <w:t xml:space="preserve">performance implications of (performance-based) contracts </w:t>
      </w:r>
      <w:r w:rsidR="0052794F" w:rsidRPr="0052794F">
        <w:rPr>
          <w:sz w:val="22"/>
        </w:rPr>
        <w:fldChar w:fldCharType="begin"/>
      </w:r>
      <w:r w:rsidR="0052794F" w:rsidRPr="0052794F">
        <w:rPr>
          <w:sz w:val="22"/>
        </w:rPr>
        <w:instrText xml:space="preserve"> ADDIN ZOTERO_ITEM CSL_CITATION {"citationID":"ggSy9sMl","properties":{"formattedCitation":"(Anderson &amp; Dekker, 2005; Hypko et al., 2010; Schepker et al., 2014)","plainCitation":"(Anderson &amp; Dekker, 2005; Hypko et al., 2010; Schepker et al., 2014)"},"citationItems":[{"id":96,"uris":["http://zotero.org/users/local/S7r2cPod/items/UEMVKQ66"],"uri":["http://zotero.org/users/local/S7r2cPod/items/UEMVKQ66"],"itemData":{"id":96,"type":"article-journal","title":"Management control for market transactions: The relation between transaction characteristics, incomplete contract design, and subsequent performance","container-title":"Management Science","page":"1734-1752","volume":"51","issue":"12","source":"mansci.journal.informs.org","abstract":"Using an unusually comprehensive database on 858 transactions for information technology products and accompanying services, we study how close partners who are exposed to opportunistic hazards structure and control a significant transaction. We analyze data on the terms of contracting to determine whether transaction and supplier characteristics that generate opportunistic hazards are related to the formal management control structure. We also examine whether misalignment between transaction and supplier characteristics and the control structure is associated with ex post performance problems. Characteristics associated with hazards are found to be positively related to contract extensiveness. Factor analysis of the use of 24 contract terms reveals four groups of contract terms that are commonly used in combination. We interpret these factors as “dimensions of management control” and label them: assignment of rights, product and price, after-sales service, and legal recourse. Characteristics associated with hazards are positively related to the use of all four dimensions of management control, with different hazards associated with different controls. We then examine the relation between transaction characteristics and ex post transaction problems, demonstrating that even in the presence of mutually agreeable contracts, hazards remain. We conclude that costs of contracting are associated with increased use of contract terms on assignment of rights, after-sales service, and legal recourse. Finally, we present evidence that management control structures that are better aligned with transaction hazards mitigate subsequent performance problems, though at a nontrivial cost of contracting.","ISSN":"0025-1909, 1526-5501","shortTitle":"Management Control for Market Transactions","journalAbbreviation":"Management Science","language":"en","author":[{"family":"Anderson","given":"Shannon W."},{"family":"Dekker","given":"Henri C."}],"issued":{"date-parts":[["2005",1,12]]},"accessed":{"date-parts":[["2013",5,15]]}}},{"id":191,"uris":["http://zotero.org/users/local/S7r2cPod/items/T8NXUCTZ"],"uri":["http://zotero.org/users/local/S7r2cPod/items/T8NXUCTZ"],"itemData":{"id":191,"type":"article-journal","title":"Clarifying the concept of performance-based contracting in manufacturing industries: A research synthesis","container-title":"Journal of Service Management","page":"625-655","volume":"21","issue":"5","source":"Emerald Publishing","ISSN":"1757-5818","shortTitle":"Clarifying the concept of performance-based contracting in manufacturing industries","author":[{"family":"Hypko","given":"Phillipp"},{"family":"Tilebein","given":"Meike"},{"family":"Gleich","given":"Ronald"}],"issued":{"date-parts":[["2010",10,12]]},"accessed":{"date-parts":[["2013",5,15]]}}},{"id":561,"uris":["http://zotero.org/users/local/S7r2cPod/items/U3KIKAIJ"],"uri":["http://zotero.org/users/local/S7r2cPod/items/U3KIKAIJ"],"itemData":{"id":561,"type":"article-journal","title":"The many futures of contracts: Moving beyond structure and safeguarding to coordination and adaptation","container-title":"Journal of Management","page":"193-225","volume":"40","issue":"1","source":"jom.sagepub.com","abstract":"In this article, we review the literature on interfirm contracting in an effort to synthesize existing research and direct future scholarship. While transaction cost economics (TCE) is the most prominent perspective informing the “optimal governance” and “safeguarding” function of contracts, our review indicates other perspectives are necessary to understand how contracts are structured: relational capabilities (i.e., building cooperation, creating trust), firm capabilities, relational contracts, and the real option value of a contract. Our review also indicates that contract research is moving away from a narrow focus on contract structure and its safeguarding function toward a broader focus that also highlights adaptation and coordination. We end by noting the following research gaps: consequences of contracting, specifically outcome assessment; strategic options, decision rights, and the evolution of dynamic capabilities; contextual constraints of relational capabilities; contextual constraints of contracting capabilities; complements, substitutes, and bundles; and contract structure and social process.","ISSN":"0149-2063, 1557-1211","journalAbbreviation":"Journal of Management","language":"en","author":[{"family":"Schepker","given":"Donald J."},{"family":"Oh","given":"Won-Yong"},{"family":"Martynov","given":"Aleksey"},{"family":"Poppo","given":"Laura"}],"issued":{"date-parts":[["2014",1,1]]},"accessed":{"date-parts":[["2013",12,5]]}}}],"schema":"https://github.com/citation-style-language/schema/raw/master/csl-citation.json"} </w:instrText>
      </w:r>
      <w:r w:rsidR="0052794F" w:rsidRPr="0052794F">
        <w:rPr>
          <w:sz w:val="22"/>
        </w:rPr>
        <w:fldChar w:fldCharType="separate"/>
      </w:r>
      <w:r w:rsidR="0052794F">
        <w:rPr>
          <w:sz w:val="22"/>
        </w:rPr>
        <w:t>(</w:t>
      </w:r>
      <w:r w:rsidR="0052794F" w:rsidRPr="0052794F">
        <w:rPr>
          <w:sz w:val="22"/>
        </w:rPr>
        <w:t>Hypko et al., 2010; Schepker et al., 2014)</w:t>
      </w:r>
      <w:r w:rsidR="0052794F" w:rsidRPr="0052794F">
        <w:rPr>
          <w:sz w:val="22"/>
        </w:rPr>
        <w:fldChar w:fldCharType="end"/>
      </w:r>
      <w:r w:rsidR="0052794F" w:rsidRPr="0052794F">
        <w:rPr>
          <w:sz w:val="22"/>
        </w:rPr>
        <w:t>, more particularly innovation performance. Our findings provide evidence for the assertion that antecedents have different effects on incr</w:t>
      </w:r>
      <w:r w:rsidR="0052794F">
        <w:rPr>
          <w:sz w:val="22"/>
        </w:rPr>
        <w:t xml:space="preserve">emental and radical innovation. </w:t>
      </w:r>
      <w:r w:rsidR="0052794F" w:rsidRPr="0052794F">
        <w:rPr>
          <w:sz w:val="22"/>
        </w:rPr>
        <w:t xml:space="preserve">Incremental innovation </w:t>
      </w:r>
      <w:r w:rsidR="0052794F" w:rsidRPr="0052794F">
        <w:rPr>
          <w:sz w:val="22"/>
        </w:rPr>
        <w:lastRenderedPageBreak/>
        <w:t>requires a higher degree of term specificity than radical innovation, which benefits most from a contract that is free from any contractual rules and obligations. The opportunism that might arise from a too low term specificity should be offset by linking rewards to performance; linking rewards to performance is less urgent in case of incremental innovation. This inter-relationship between term specificity and pay-for-performance underlines the importance of using both TCE and AT collective</w:t>
      </w:r>
      <w:r w:rsidR="0052794F">
        <w:rPr>
          <w:sz w:val="22"/>
        </w:rPr>
        <w:t xml:space="preserve">ly in explaining the effects of </w:t>
      </w:r>
      <w:r w:rsidR="0052794F" w:rsidRPr="0052794F">
        <w:rPr>
          <w:sz w:val="22"/>
        </w:rPr>
        <w:t xml:space="preserve">contracts, in contrast to existing research which uses the theories separately. Another important contribution to extant research stems from our finding that the use PBCs should not be limited to IORs involving non risk-averse partners only. </w:t>
      </w:r>
      <w:r w:rsidR="00FE75E0">
        <w:rPr>
          <w:sz w:val="22"/>
        </w:rPr>
        <w:t>O</w:t>
      </w:r>
      <w:r w:rsidR="0052794F" w:rsidRPr="0052794F">
        <w:rPr>
          <w:sz w:val="22"/>
        </w:rPr>
        <w:t xml:space="preserve">ur findings suggest that in contracts where pay-for-performance is used may be more successful when the partner is actually risk-averse, as the increased pressure resulting from the pay-for-performance clause inherent in PBCs may positively affect the risk-averse partner’s creativity and persistence. </w:t>
      </w:r>
    </w:p>
    <w:p w:rsidR="00FE75E0" w:rsidRPr="00FE75E0" w:rsidRDefault="005F2CDC" w:rsidP="00FE75E0">
      <w:pPr>
        <w:ind w:firstLine="720"/>
        <w:rPr>
          <w:sz w:val="22"/>
        </w:rPr>
      </w:pPr>
      <w:r w:rsidRPr="008E72A8">
        <w:rPr>
          <w:rFonts w:cs="Times New Roman"/>
          <w:i/>
          <w:sz w:val="22"/>
        </w:rPr>
        <w:t>Managerial contributions:</w:t>
      </w:r>
      <w:r w:rsidR="00CE14BE" w:rsidRPr="008E72A8">
        <w:rPr>
          <w:rFonts w:cs="Times New Roman"/>
          <w:sz w:val="22"/>
        </w:rPr>
        <w:t xml:space="preserve"> </w:t>
      </w:r>
      <w:r w:rsidR="00FE75E0" w:rsidRPr="00FE75E0">
        <w:rPr>
          <w:sz w:val="22"/>
        </w:rPr>
        <w:t xml:space="preserve">First, the finding that the relationship between term specificity and incremental innovation appears to have an optimum suggests </w:t>
      </w:r>
      <w:r w:rsidR="00FE75E0">
        <w:rPr>
          <w:sz w:val="22"/>
        </w:rPr>
        <w:t>that</w:t>
      </w:r>
      <w:r w:rsidR="00FE75E0" w:rsidRPr="00FE75E0">
        <w:rPr>
          <w:sz w:val="22"/>
        </w:rPr>
        <w:t xml:space="preserve"> the partner needs the freedom to decide how to deliver the service and which resources to use, yet, when term specificity is too low or too high, it may have detrimental effects on incremental innovation. Finding this optimal degree of contractual term specificity requires significant managerial skills. The resulting level of term specificity may however negatively affect radical innovation, as the best contract for achieving radical innovation would be a very low degree of contractual term specificity. For radical innovation, organizations must carefully think about incentivizing the partner by paying them based on their performance. Paying the partner based on their performance will also lead them to engage in incremental innovation, but to a lesser extent than radical innovation. Finally, when pursuing innovation, organizations should preferably engage in outcome-based reward schemes with risk-averse partners, as under conditions of pay-for-performance, risk-averse partners tend to achieve higher levels of incremental and radical innovation. All in all, for incremental innovation, organizations should design a contract with an optimum degree of term specificity (i.e., not too low nor too high), and may then add pay-for-performance schemes. For radical innovation, pay-for-performance schemes are critical to counter the opportunism resulting from the lack of constraints (i.e., very low level of term specificity) needed for this type of innovation. As PBCs can be typified by both contractual characteristics, this contract type may be effectively used for both types of innovation, though not simultaneously. </w:t>
      </w:r>
    </w:p>
    <w:p w:rsidR="00CE14BE" w:rsidRPr="008E72A8" w:rsidRDefault="00CE14BE" w:rsidP="00FE75E0">
      <w:pPr>
        <w:autoSpaceDE w:val="0"/>
        <w:autoSpaceDN w:val="0"/>
        <w:adjustRightInd w:val="0"/>
        <w:ind w:firstLine="720"/>
        <w:jc w:val="left"/>
        <w:rPr>
          <w:rFonts w:cs="Times New Roman"/>
          <w:b/>
          <w:sz w:val="22"/>
        </w:rPr>
      </w:pPr>
    </w:p>
    <w:p w:rsidR="00CE14BE" w:rsidRPr="008E72A8" w:rsidRDefault="004D364B" w:rsidP="005F2CDC">
      <w:pPr>
        <w:ind w:firstLine="0"/>
        <w:jc w:val="left"/>
        <w:rPr>
          <w:rFonts w:cs="Times New Roman"/>
          <w:i/>
          <w:sz w:val="22"/>
        </w:rPr>
      </w:pPr>
      <w:r w:rsidRPr="008E72A8">
        <w:rPr>
          <w:rFonts w:cs="Times New Roman"/>
          <w:i/>
          <w:sz w:val="22"/>
        </w:rPr>
        <w:t xml:space="preserve">5.2 </w:t>
      </w:r>
      <w:r w:rsidR="00CE14BE" w:rsidRPr="008E72A8">
        <w:rPr>
          <w:rFonts w:cs="Times New Roman"/>
          <w:i/>
          <w:sz w:val="22"/>
        </w:rPr>
        <w:t>Limitations and Future Research</w:t>
      </w:r>
    </w:p>
    <w:p w:rsidR="00FE75E0" w:rsidRPr="00FE75E0" w:rsidRDefault="00FE75E0" w:rsidP="00FE75E0">
      <w:pPr>
        <w:rPr>
          <w:sz w:val="22"/>
        </w:rPr>
      </w:pPr>
      <w:r w:rsidRPr="00FE75E0">
        <w:rPr>
          <w:sz w:val="22"/>
        </w:rPr>
        <w:t xml:space="preserve">First, we used perceptual data only. Instead, future research could use objective data such as the </w:t>
      </w:r>
      <w:r w:rsidRPr="00FE75E0">
        <w:rPr>
          <w:i/>
          <w:sz w:val="22"/>
        </w:rPr>
        <w:t xml:space="preserve">actual </w:t>
      </w:r>
      <w:r w:rsidRPr="00FE75E0">
        <w:rPr>
          <w:sz w:val="22"/>
        </w:rPr>
        <w:t xml:space="preserve">content of the contracts. Performing in-depth contractual analysis would fit with the call for more research based on contractual content </w:t>
      </w:r>
      <w:r w:rsidRPr="00FE75E0">
        <w:rPr>
          <w:sz w:val="22"/>
        </w:rPr>
        <w:fldChar w:fldCharType="begin"/>
      </w:r>
      <w:r w:rsidRPr="00FE75E0">
        <w:rPr>
          <w:sz w:val="22"/>
        </w:rPr>
        <w:instrText xml:space="preserve"> ADDIN ZOTERO_ITEM CSL_CITATION {"citationID":"i4t8kods","properties":{"formattedCitation":"(Chen &amp; Bharadwaj, 2009; Faems, Janssens, Madhok, &amp; Looy, 2008)","plainCitation":"(Chen &amp; Bharadwaj, 2009; Faems, Janssens, Madhok, &amp; Looy, 2008)"},"citationItems":[{"id":115,"uris":["http://zotero.org/users/local/S7r2cPod/items/AN3XWAGF"],"uri":["http://zotero.org/users/local/S7r2cPod/items/AN3XWAGF"],"itemData":{"id":115,"type":"article-journal","title":"An Empirical Analysis of Contract Structures in IT Outsourcing","container-title":"Info. Sys. Research","page":"484–506","volume":"20","issue":"4","source":"ACM Digital Library","abstract":"Outsourcing of information technology (IT) services has received much attention in the information systems (IS) literature. However, considerably less attention has been paid to actual contract structures used in IT outsourcing (ITO). Examining contract structures yields important insights into how the contracting parties structure the governance provisions and the factors or transaction risks that influence them. Based on insights from prior literature, from practicing legal experts, and through in-depth content analysis of actual contracts, we develop a comprehensive coding scheme to capture contract provisions across four major dimensions: monitoring, dispute resolution, property rights protection, and contingency provisions. We then develop an empirical data set describing the contract structures across these distinct dimensions, using a sample of 112 ITO contracts from the Securities and Exchange Commission (SEC) database from 1993 to 2003. Drawing on transaction cost, agency, and relational exchange theories, we hypothesize the effects of transaction and relational characteristics on the specific contractual provisions, as well as on overall contract extensiveness. Furthermore, we examine how these associations vary under conditions of fixed price and time and materials pricing structures. The results provide good support for the main hypotheses of the study and yield interesting insights about contractual governance of ITO arrangements.","ISSN":"1526-5536","author":[{"family":"Chen","given":"Yuanyuan"},{"family":"Bharadwaj","given":"Anandhi"}],"issued":{"date-parts":[["2009",12]]},"accessed":{"date-parts":[["2013",5,15]]}}},{"id":569,"uris":["http://zotero.org/users/local/S7r2cPod/items/HMMEN4WE"],"uri":["http://zotero.org/users/local/S7r2cPod/items/HMMEN4WE"],"itemData":{"id":569,"type":"article-journal","title":"Toward an integrative perspective on alliance governance: Connecting contract design, trust dynamics, and contract application","container-title":"Academy of Management Journal","page":"1053-1078","volume":"51","issue":"6","source":"amj.aom.org","abstract":"On the basis of a case study of two sequential alliances between the same firms, we develop a more integrative perspective on alliance governance, providing insights into the interactions between structural and relational aspects, both within and between transactions. In particular, we disentangle (1) how contracts with a similar degree but different nature of formalization (narrow versus broad) trigger different kinds of trust dynamics (negative versus positive) at both operational and managerial levels, (2) how trust dynamics and contract application (rigid versus flexible) coevolve over time, and (3) how relational dynamics in previous transactions influence the design of contracts in subsequent transactions.","ISSN":"0001-4273, 1948-0989","shortTitle":"Toward An Integrative Perspective on Alliance Governance","journalAbbreviation":"ACAD MANAGE J","language":"en","author":[{"family":"Faems","given":"Dries"},{"family":"Janssens","given":"Maddy"},{"family":"Madhok","given":"Anoop"},{"family":"Looy","given":"Bart Van"}],"issued":{"date-parts":[["2008",1,12]]},"accessed":{"date-parts":[["2013",12,10]]}}}],"schema":"https://github.com/citation-style-language/schema/raw/master/csl-citation.json"} </w:instrText>
      </w:r>
      <w:r w:rsidRPr="00FE75E0">
        <w:rPr>
          <w:sz w:val="22"/>
        </w:rPr>
        <w:fldChar w:fldCharType="separate"/>
      </w:r>
      <w:r>
        <w:rPr>
          <w:sz w:val="22"/>
        </w:rPr>
        <w:t>(Chen &amp; Bharadwaj, 2009</w:t>
      </w:r>
      <w:r w:rsidRPr="00FE75E0">
        <w:rPr>
          <w:sz w:val="22"/>
        </w:rPr>
        <w:t>)</w:t>
      </w:r>
      <w:r w:rsidRPr="00FE75E0">
        <w:rPr>
          <w:sz w:val="22"/>
        </w:rPr>
        <w:fldChar w:fldCharType="end"/>
      </w:r>
      <w:r w:rsidRPr="00FE75E0">
        <w:rPr>
          <w:sz w:val="22"/>
        </w:rPr>
        <w:t xml:space="preserve">. Second, although we did not find response bias in our data, the response rate is rather low. We therefore posit that a larger sample should be covered in future research to increase external validity. Moreover, the sample is drawn from firms in the Dutch maintenance sector and therefore can only be generalized to this population. Future research should seek to extent this domain to other industries and geographical areas. Finally, as common method bias cannot be completely eliminated in single-respondent studies, caution must be exercised in interpreting the results as this bias may make the results of the hypothesized relationships stronger or weaker </w:t>
      </w:r>
      <w:r w:rsidRPr="00FE75E0">
        <w:rPr>
          <w:sz w:val="22"/>
        </w:rPr>
        <w:fldChar w:fldCharType="begin"/>
      </w:r>
      <w:r w:rsidRPr="00FE75E0">
        <w:rPr>
          <w:sz w:val="22"/>
        </w:rPr>
        <w:instrText xml:space="preserve"> ADDIN ZOTERO_ITEM CSL_CITATION {"citationID":"18t6vjglgu","properties":{"formattedCitation":"(S. R. Das &amp; Joshi, 2007; Parkhe, 1993)","plainCitation":"(S. R. Das &amp; Joshi, 2007; Parkhe, 1993)"},"citationItems":[{"id":474,"uris":["http://zotero.org/users/local/S7r2cPod/items/6ET67SB7"],"uri":["http://zotero.org/users/local/S7r2cPod/items/6ET67SB7"],"itemData":{"id":474,"type":"article-journal","title":"Process innovativeness in technology services organizations: Roles of differentiation strategy, operational autonomy and risk-taking propensity","container-title":"Journal of Operations Management","page":"643-660","volume":"25","issue":"3","source":"ScienceDirect","abstract":"This paper examines the effect of differentiation strategy on process innovativeness in technology services organization (TSOs). In addition it examines the direct and moderating effects of two organizational constructs—operational autonomy and risk-taking propensity. Analysis of data from 102 firms in the mid-Atlantic region of the USA indicates that both differentiation strategy and operational autonomy are positively related with process innovativeness, while an organization's risk-taking propensity has no such relationship. In addition, operational autonomy moderates the relationship between differentiation strategy and process innovativeness, while no evidence was found for the moderating effect of risk-taking propensity on this relationship. Further sub-group analysis shows that in TSOs with high levels of operational autonomy, risk-taking propensity has a positive moderating effect on the above relationship. Post hoc analysis also establishes positive links among process innovativeness and firm performance.","ISSN":"0272-6963","shortTitle":"Process innovativeness in technology services organizations","journalAbbreviation":"Journal of Operations Management","author":[{"family":"Das","given":"Sidhartha R."},{"family":"Joshi","given":"Maheshkumar P."}],"issued":{"date-parts":[["2007",4]]},"accessed":{"date-parts":[["2013",9,25]]}}},{"id":486,"uris":["http://zotero.org/users/local/S7r2cPod/items/IZJB4PUQ"],"uri":["http://zotero.org/users/local/S7r2cPod/items/IZJB4PUQ"],"itemData":{"id":486,"type":"article-journal","title":"Strategic alliance structuring: A game theoretic and transaction cost examination of interfirm cooperation","container-title":"Academy of Management Journal","page":"794-829","volume":"36","issue":"4","source":"JSTOR","abstract":"Maintaining robust cooperation in interfirm strategic alliances poses special problems. Such relationships have received growing attention in recent research grounded in game theory, which has suggested that some alliance structures are inherently more likely than others to be associated with high opportunity to cheat, high behavioral uncertainty, and poor stability, longevity, and performance. The present study merged these theoretical insights with the logic of transaction cost economics in a general model of alliance structuring and tested it with data from 111 interfirm alliances. Findings generally supported the model and hypotheses, suggesting the need for a greater focus on game theoretic structural dimensions and institutional responses to perceived opportunism in the study of voluntary interfirm cooperation.","ISSN":"0001-4273","note":"ArticleType: research-article / Full publication date: Aug., 1993 / Copyright © 1993 Academy of Management","shortTitle":"Strategic Alliance Structuring","journalAbbreviation":"The Academy of Management Journal","author":[{"family":"Parkhe","given":"Arvind"}],"issued":{"date-parts":[["1993",8,1]]},"accessed":{"date-parts":[["2013",9,26]]}}}],"schema":"https://github.com/citation-style-language/schema/raw/master/csl-citation.json"} </w:instrText>
      </w:r>
      <w:r w:rsidRPr="00FE75E0">
        <w:rPr>
          <w:sz w:val="22"/>
        </w:rPr>
        <w:fldChar w:fldCharType="separate"/>
      </w:r>
      <w:r w:rsidRPr="00FE75E0">
        <w:rPr>
          <w:sz w:val="22"/>
        </w:rPr>
        <w:t>(Das &amp; Joshi, 2007; Parkhe, 1993)</w:t>
      </w:r>
      <w:r w:rsidRPr="00FE75E0">
        <w:rPr>
          <w:sz w:val="22"/>
        </w:rPr>
        <w:fldChar w:fldCharType="end"/>
      </w:r>
      <w:r w:rsidRPr="00FE75E0">
        <w:rPr>
          <w:sz w:val="22"/>
        </w:rPr>
        <w:t xml:space="preserve">. Therefore, future research should preferably be based on mixed-methods, multi-respondent approaches. </w:t>
      </w:r>
    </w:p>
    <w:p w:rsidR="00FE75E0" w:rsidRPr="00FE75E0" w:rsidRDefault="00FE75E0" w:rsidP="00FE75E0">
      <w:pPr>
        <w:rPr>
          <w:sz w:val="22"/>
          <w:lang w:bidi="it-IT"/>
        </w:rPr>
      </w:pPr>
      <w:r w:rsidRPr="00FE75E0">
        <w:rPr>
          <w:sz w:val="22"/>
          <w:lang w:bidi="it-IT"/>
        </w:rPr>
        <w:tab/>
        <w:t>There are several interesting future research avenues. First, contrary to recent studies in intra-firm settings which found that contractual detail might not be as detrimental for radical innovation as previously thought, we find that term specificity does have a negative effect on radical innovation. Future research could continue this line of research by studying whether</w:t>
      </w:r>
      <w:r w:rsidRPr="00FE75E0">
        <w:rPr>
          <w:sz w:val="22"/>
        </w:rPr>
        <w:t xml:space="preserve"> contractual term specificity affects radical innovation differently in inter- versus intra-firm settings.</w:t>
      </w:r>
      <w:r w:rsidRPr="00FE75E0">
        <w:rPr>
          <w:sz w:val="22"/>
          <w:lang w:bidi="it-IT"/>
        </w:rPr>
        <w:t xml:space="preserve"> Second, future studies could investigate </w:t>
      </w:r>
      <w:r w:rsidRPr="00FE75E0">
        <w:rPr>
          <w:sz w:val="22"/>
        </w:rPr>
        <w:t xml:space="preserve">the effects of different pay-for-performance schemes, such as bonuses and innovation incentives, on innovation. </w:t>
      </w:r>
      <w:r w:rsidRPr="00FE75E0">
        <w:rPr>
          <w:sz w:val="22"/>
          <w:lang w:bidi="it-IT"/>
        </w:rPr>
        <w:t xml:space="preserve">Third, future research could focus on the conditions under which risk-aversion is an advantage rather than a disadvantage. Extant research has shown that pressure may foster creativity when it arises from intellectually challenging situations; yet other types of pressure (i.e., stress resulting from for example high time pressure) may have the opposite effect. It seems worthwhile to try and reveal how organizations can create and maintain “healthy” pressure for their risk-averse partners. Finally, </w:t>
      </w:r>
      <w:r w:rsidRPr="00FE75E0">
        <w:rPr>
          <w:sz w:val="22"/>
        </w:rPr>
        <w:t xml:space="preserve">in this study we only tested the effect of formal control on innovation </w:t>
      </w:r>
      <w:r w:rsidRPr="00FE75E0">
        <w:rPr>
          <w:sz w:val="22"/>
        </w:rPr>
        <w:lastRenderedPageBreak/>
        <w:t xml:space="preserve">and do not address the effects of relational governance. </w:t>
      </w:r>
      <w:r w:rsidRPr="00FE75E0">
        <w:rPr>
          <w:bCs/>
          <w:sz w:val="22"/>
        </w:rPr>
        <w:t xml:space="preserve">IORs governed by contracts that are prone to opportunistic behavior require other governance methods such as the relationship. </w:t>
      </w:r>
      <w:r>
        <w:rPr>
          <w:bCs/>
          <w:sz w:val="22"/>
        </w:rPr>
        <w:t>R</w:t>
      </w:r>
      <w:r w:rsidRPr="00FE75E0">
        <w:rPr>
          <w:bCs/>
          <w:sz w:val="22"/>
        </w:rPr>
        <w:t xml:space="preserve">elational attributes could also affect innovation. </w:t>
      </w:r>
      <w:r w:rsidRPr="00FE75E0">
        <w:rPr>
          <w:rFonts w:eastAsia="MS Mincho"/>
          <w:noProof/>
          <w:sz w:val="22"/>
        </w:rPr>
        <w:t xml:space="preserve">Future research could therefore study the </w:t>
      </w:r>
      <w:r w:rsidRPr="00FE75E0">
        <w:rPr>
          <w:sz w:val="22"/>
          <w:lang w:bidi="it-IT"/>
        </w:rPr>
        <w:t xml:space="preserve">interaction between (performance-based) contracts and relational governance elements, rather than testing their effects independently in separate studies. </w:t>
      </w:r>
    </w:p>
    <w:p w:rsidR="00987840" w:rsidRDefault="00987840" w:rsidP="00987840">
      <w:pPr>
        <w:pStyle w:val="Heading1"/>
      </w:pPr>
      <w:r>
        <w:t>References</w:t>
      </w:r>
    </w:p>
    <w:p w:rsidR="00987840" w:rsidRPr="00987840" w:rsidRDefault="00E4720E" w:rsidP="00987840">
      <w:pPr>
        <w:pStyle w:val="Bibliography"/>
        <w:spacing w:line="240" w:lineRule="auto"/>
        <w:rPr>
          <w:rFonts w:cs="Times New Roman"/>
          <w:sz w:val="22"/>
        </w:rPr>
      </w:pPr>
      <w:r w:rsidRPr="00987840">
        <w:rPr>
          <w:rFonts w:cs="Times New Roman"/>
          <w:sz w:val="22"/>
        </w:rPr>
        <w:fldChar w:fldCharType="begin"/>
      </w:r>
      <w:r w:rsidR="00987840" w:rsidRPr="00987840">
        <w:rPr>
          <w:rFonts w:cs="Times New Roman"/>
          <w:sz w:val="22"/>
        </w:rPr>
        <w:instrText xml:space="preserve"> ADDIN ZOTERO_BIBL {"custom":[]} CSL_BIBLIOGRAPHY </w:instrText>
      </w:r>
      <w:r w:rsidRPr="00987840">
        <w:rPr>
          <w:rFonts w:cs="Times New Roman"/>
          <w:sz w:val="22"/>
        </w:rPr>
        <w:fldChar w:fldCharType="separate"/>
      </w:r>
      <w:r w:rsidR="00987840" w:rsidRPr="00987840">
        <w:rPr>
          <w:rFonts w:cs="Times New Roman"/>
          <w:sz w:val="22"/>
        </w:rPr>
        <w:t xml:space="preserve">Abbey, A., &amp; Dickson, J. W. (1983). R&amp;D work climate and innovation in semiconductors. </w:t>
      </w:r>
      <w:r w:rsidR="00987840" w:rsidRPr="00987840">
        <w:rPr>
          <w:rFonts w:cs="Times New Roman"/>
          <w:i/>
          <w:iCs/>
          <w:sz w:val="22"/>
        </w:rPr>
        <w:t>Academy of Management Journal</w:t>
      </w:r>
      <w:r w:rsidR="00987840" w:rsidRPr="00987840">
        <w:rPr>
          <w:rFonts w:cs="Times New Roman"/>
          <w:sz w:val="22"/>
        </w:rPr>
        <w:t xml:space="preserve">, </w:t>
      </w:r>
      <w:r w:rsidR="00987840" w:rsidRPr="00987840">
        <w:rPr>
          <w:rFonts w:cs="Times New Roman"/>
          <w:i/>
          <w:iCs/>
          <w:sz w:val="22"/>
        </w:rPr>
        <w:t>26</w:t>
      </w:r>
      <w:r w:rsidR="00987840" w:rsidRPr="00987840">
        <w:rPr>
          <w:rFonts w:cs="Times New Roman"/>
          <w:sz w:val="22"/>
        </w:rPr>
        <w:t>(2), 362–368.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Anderson, De Dreu, &amp; Nijstad. (2004). The routinization of innovation research: a constructively critical review of the state-of-the-science. </w:t>
      </w:r>
      <w:r w:rsidRPr="00987840">
        <w:rPr>
          <w:rFonts w:cs="Times New Roman"/>
          <w:i/>
          <w:iCs/>
          <w:sz w:val="22"/>
        </w:rPr>
        <w:t>Journal of Organizational Behavior</w:t>
      </w:r>
      <w:r w:rsidRPr="00987840">
        <w:rPr>
          <w:rFonts w:cs="Times New Roman"/>
          <w:sz w:val="22"/>
        </w:rPr>
        <w:t xml:space="preserve">, </w:t>
      </w:r>
      <w:r w:rsidRPr="00987840">
        <w:rPr>
          <w:rFonts w:cs="Times New Roman"/>
          <w:i/>
          <w:iCs/>
          <w:sz w:val="22"/>
        </w:rPr>
        <w:t>25</w:t>
      </w:r>
      <w:r w:rsidRPr="00987840">
        <w:rPr>
          <w:rFonts w:cs="Times New Roman"/>
          <w:sz w:val="22"/>
        </w:rPr>
        <w:t>(2), 147–173.</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Anderson, S. W., &amp; Dekker, H. C. (2005). Management control for market transactions: The relation between transaction characteristics, incomplete contract design, and subsequent performance.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51</w:t>
      </w:r>
      <w:r w:rsidRPr="00987840">
        <w:rPr>
          <w:rFonts w:cs="Times New Roman"/>
          <w:sz w:val="22"/>
        </w:rPr>
        <w:t>(12), 1734–1752.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Argyres, N., Bercovitz, J., &amp; Mayer, K. J. (2007). Complementarity and evolution of contractual provisions: An empirical study of IT services contracts. </w:t>
      </w:r>
      <w:r w:rsidRPr="00987840">
        <w:rPr>
          <w:rFonts w:cs="Times New Roman"/>
          <w:i/>
          <w:iCs/>
          <w:sz w:val="22"/>
        </w:rPr>
        <w:t>Organization Science</w:t>
      </w:r>
      <w:r w:rsidRPr="00987840">
        <w:rPr>
          <w:rFonts w:cs="Times New Roman"/>
          <w:sz w:val="22"/>
        </w:rPr>
        <w:t xml:space="preserve">, </w:t>
      </w:r>
      <w:r w:rsidRPr="00987840">
        <w:rPr>
          <w:rFonts w:cs="Times New Roman"/>
          <w:i/>
          <w:iCs/>
          <w:sz w:val="22"/>
        </w:rPr>
        <w:t>18</w:t>
      </w:r>
      <w:r w:rsidRPr="00987840">
        <w:rPr>
          <w:rFonts w:cs="Times New Roman"/>
          <w:sz w:val="22"/>
        </w:rPr>
        <w:t>(1), 3–19.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Argyres, N., &amp; Mayer, K. J. (2007). Contract design as a firm capability: An integration of learning and transaction cost perspectives. </w:t>
      </w:r>
      <w:r w:rsidRPr="00987840">
        <w:rPr>
          <w:rFonts w:cs="Times New Roman"/>
          <w:i/>
          <w:iCs/>
          <w:sz w:val="22"/>
        </w:rPr>
        <w:t>Academy of Management Review</w:t>
      </w:r>
      <w:r w:rsidRPr="00987840">
        <w:rPr>
          <w:rFonts w:cs="Times New Roman"/>
          <w:sz w:val="22"/>
        </w:rPr>
        <w:t xml:space="preserve">, </w:t>
      </w:r>
      <w:r w:rsidRPr="00987840">
        <w:rPr>
          <w:rFonts w:cs="Times New Roman"/>
          <w:i/>
          <w:iCs/>
          <w:sz w:val="22"/>
        </w:rPr>
        <w:t>32</w:t>
      </w:r>
      <w:r w:rsidRPr="00987840">
        <w:rPr>
          <w:rFonts w:cs="Times New Roman"/>
          <w:sz w:val="22"/>
        </w:rPr>
        <w:t>(4), 1060–1077.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Aulakh, P. S., Kotabe, M., &amp; Sahay, A. (1996). Trust and performance in cross-border marketing partnerships: A behavioral approach. </w:t>
      </w:r>
      <w:r w:rsidRPr="00987840">
        <w:rPr>
          <w:rFonts w:cs="Times New Roman"/>
          <w:i/>
          <w:iCs/>
          <w:sz w:val="22"/>
        </w:rPr>
        <w:t>Journal of International Business Studies</w:t>
      </w:r>
      <w:r w:rsidRPr="00987840">
        <w:rPr>
          <w:rFonts w:cs="Times New Roman"/>
          <w:sz w:val="22"/>
        </w:rPr>
        <w:t xml:space="preserve">, </w:t>
      </w:r>
      <w:r w:rsidRPr="00987840">
        <w:rPr>
          <w:rFonts w:cs="Times New Roman"/>
          <w:i/>
          <w:iCs/>
          <w:sz w:val="22"/>
        </w:rPr>
        <w:t>27</w:t>
      </w:r>
      <w:r w:rsidRPr="00987840">
        <w:rPr>
          <w:rFonts w:cs="Times New Roman"/>
          <w:sz w:val="22"/>
        </w:rPr>
        <w:t>(5), 1005–1032.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Bloom, M., &amp; Milkovich, G. T. (1998). Relationships among risk, incentive pay, and organizational performance. </w:t>
      </w:r>
      <w:r w:rsidRPr="00987840">
        <w:rPr>
          <w:rFonts w:cs="Times New Roman"/>
          <w:i/>
          <w:iCs/>
          <w:sz w:val="22"/>
        </w:rPr>
        <w:t>Academy of Management Journal</w:t>
      </w:r>
      <w:r w:rsidRPr="00987840">
        <w:rPr>
          <w:rFonts w:cs="Times New Roman"/>
          <w:sz w:val="22"/>
        </w:rPr>
        <w:t xml:space="preserve">, </w:t>
      </w:r>
      <w:r w:rsidRPr="00987840">
        <w:rPr>
          <w:rFonts w:cs="Times New Roman"/>
          <w:i/>
          <w:iCs/>
          <w:sz w:val="22"/>
        </w:rPr>
        <w:t>41</w:t>
      </w:r>
      <w:r w:rsidRPr="00987840">
        <w:rPr>
          <w:rFonts w:cs="Times New Roman"/>
          <w:sz w:val="22"/>
        </w:rPr>
        <w:t>(3), 283–297.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Cabrales, Á. L., Medina, C. C., Lavado, A. C., &amp; Cabrera, R. V. (2008). Managing functional diversity, risk taking and incentives for teams to achieve radical innovations. </w:t>
      </w:r>
      <w:r w:rsidRPr="00987840">
        <w:rPr>
          <w:rFonts w:cs="Times New Roman"/>
          <w:i/>
          <w:iCs/>
          <w:sz w:val="22"/>
        </w:rPr>
        <w:t>R&amp;D Management</w:t>
      </w:r>
      <w:r w:rsidRPr="00987840">
        <w:rPr>
          <w:rFonts w:cs="Times New Roman"/>
          <w:sz w:val="22"/>
        </w:rPr>
        <w:t xml:space="preserve">, </w:t>
      </w:r>
      <w:r w:rsidRPr="00987840">
        <w:rPr>
          <w:rFonts w:cs="Times New Roman"/>
          <w:i/>
          <w:iCs/>
          <w:sz w:val="22"/>
        </w:rPr>
        <w:t>38</w:t>
      </w:r>
      <w:r w:rsidRPr="00987840">
        <w:rPr>
          <w:rFonts w:cs="Times New Roman"/>
          <w:sz w:val="22"/>
        </w:rPr>
        <w:t>(1), 35–50.</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Chen, Y., &amp; Bharadwaj, A. (2009). An Empirical Analysis of Contract Structures in IT Outsourcing. </w:t>
      </w:r>
      <w:r w:rsidRPr="00987840">
        <w:rPr>
          <w:rFonts w:cs="Times New Roman"/>
          <w:i/>
          <w:iCs/>
          <w:sz w:val="22"/>
        </w:rPr>
        <w:t>Info. Sys. Research</w:t>
      </w:r>
      <w:r w:rsidRPr="00987840">
        <w:rPr>
          <w:rFonts w:cs="Times New Roman"/>
          <w:sz w:val="22"/>
        </w:rPr>
        <w:t xml:space="preserve">, </w:t>
      </w:r>
      <w:r w:rsidRPr="00987840">
        <w:rPr>
          <w:rFonts w:cs="Times New Roman"/>
          <w:i/>
          <w:iCs/>
          <w:sz w:val="22"/>
        </w:rPr>
        <w:t>20</w:t>
      </w:r>
      <w:r w:rsidRPr="00987840">
        <w:rPr>
          <w:rFonts w:cs="Times New Roman"/>
          <w:sz w:val="22"/>
        </w:rPr>
        <w:t>(4), 484–506.</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Chin, W. W., Marcolin, B. L., &amp; Newsted, P. R. (2003). A partial least squares latent variable modeling approach for measuring interaction effects: Results from a Monte Carlo simulation study and an electronic-mail emotion/adoption study. </w:t>
      </w:r>
      <w:r w:rsidRPr="00987840">
        <w:rPr>
          <w:rFonts w:cs="Times New Roman"/>
          <w:i/>
          <w:iCs/>
          <w:sz w:val="22"/>
        </w:rPr>
        <w:t>Information Systems Research</w:t>
      </w:r>
      <w:r w:rsidRPr="00987840">
        <w:rPr>
          <w:rFonts w:cs="Times New Roman"/>
          <w:sz w:val="22"/>
        </w:rPr>
        <w:t xml:space="preserve">, </w:t>
      </w:r>
      <w:r w:rsidRPr="00987840">
        <w:rPr>
          <w:rFonts w:cs="Times New Roman"/>
          <w:i/>
          <w:iCs/>
          <w:sz w:val="22"/>
        </w:rPr>
        <w:t>14</w:t>
      </w:r>
      <w:r w:rsidRPr="00987840">
        <w:rPr>
          <w:rFonts w:cs="Times New Roman"/>
          <w:sz w:val="22"/>
        </w:rPr>
        <w:t>(2), 189–217.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Cohen, J. (1988). </w:t>
      </w:r>
      <w:r w:rsidRPr="00987840">
        <w:rPr>
          <w:rFonts w:cs="Times New Roman"/>
          <w:i/>
          <w:iCs/>
          <w:sz w:val="22"/>
        </w:rPr>
        <w:t>Statistical power analysis for the behavioral sciences</w:t>
      </w:r>
      <w:r w:rsidRPr="00987840">
        <w:rPr>
          <w:rFonts w:cs="Times New Roman"/>
          <w:sz w:val="22"/>
        </w:rPr>
        <w:t>. L. Erlbaum Associates, Hilssdale, NJ.</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Das, S. R., &amp; Joshi, M. P. (2007). Process innovativeness in technology services organizations: Roles of differentiation strategy, operational autonomy and risk-taking propensity. </w:t>
      </w:r>
      <w:r w:rsidRPr="00987840">
        <w:rPr>
          <w:rFonts w:cs="Times New Roman"/>
          <w:i/>
          <w:iCs/>
          <w:sz w:val="22"/>
        </w:rPr>
        <w:t>Journal of Operations Management</w:t>
      </w:r>
      <w:r w:rsidRPr="00987840">
        <w:rPr>
          <w:rFonts w:cs="Times New Roman"/>
          <w:sz w:val="22"/>
        </w:rPr>
        <w:t xml:space="preserve">, </w:t>
      </w:r>
      <w:r w:rsidRPr="00987840">
        <w:rPr>
          <w:rFonts w:cs="Times New Roman"/>
          <w:i/>
          <w:iCs/>
          <w:sz w:val="22"/>
        </w:rPr>
        <w:t>25</w:t>
      </w:r>
      <w:r w:rsidRPr="00987840">
        <w:rPr>
          <w:rFonts w:cs="Times New Roman"/>
          <w:sz w:val="22"/>
        </w:rPr>
        <w:t>(3), 643–660.</w:t>
      </w:r>
    </w:p>
    <w:p w:rsidR="00987840" w:rsidRPr="00987840" w:rsidRDefault="00987840" w:rsidP="00987840">
      <w:pPr>
        <w:pStyle w:val="Bibliography"/>
        <w:spacing w:line="240" w:lineRule="auto"/>
        <w:rPr>
          <w:rFonts w:cs="Times New Roman"/>
          <w:sz w:val="22"/>
        </w:rPr>
      </w:pPr>
      <w:r w:rsidRPr="00B62750">
        <w:rPr>
          <w:rFonts w:cs="Times New Roman"/>
          <w:sz w:val="22"/>
        </w:rPr>
        <w:t xml:space="preserve">Deckop, J. R., Mangel, R., &amp; Cirka, C. C. (1999). </w:t>
      </w:r>
      <w:r w:rsidRPr="00987840">
        <w:rPr>
          <w:rFonts w:cs="Times New Roman"/>
          <w:sz w:val="22"/>
        </w:rPr>
        <w:t xml:space="preserve">Getting more than you pay for: Organizational citizenship behavior and pay-for-performance plans. </w:t>
      </w:r>
      <w:r w:rsidRPr="00987840">
        <w:rPr>
          <w:rFonts w:cs="Times New Roman"/>
          <w:i/>
          <w:iCs/>
          <w:sz w:val="22"/>
        </w:rPr>
        <w:t>Academy of Management Journal</w:t>
      </w:r>
      <w:r w:rsidRPr="00987840">
        <w:rPr>
          <w:rFonts w:cs="Times New Roman"/>
          <w:sz w:val="22"/>
        </w:rPr>
        <w:t xml:space="preserve">, </w:t>
      </w:r>
      <w:r w:rsidRPr="00987840">
        <w:rPr>
          <w:rFonts w:cs="Times New Roman"/>
          <w:i/>
          <w:iCs/>
          <w:sz w:val="22"/>
        </w:rPr>
        <w:t>42</w:t>
      </w:r>
      <w:r w:rsidRPr="00987840">
        <w:rPr>
          <w:rFonts w:cs="Times New Roman"/>
          <w:sz w:val="22"/>
        </w:rPr>
        <w:t>(4), 420–428.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Dewar, R. D., &amp; Dutton, J. E. (1986). The adoption of radical and incremental innovations: An empirical analysis.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32</w:t>
      </w:r>
      <w:r w:rsidRPr="00987840">
        <w:rPr>
          <w:rFonts w:cs="Times New Roman"/>
          <w:sz w:val="22"/>
        </w:rPr>
        <w:t>(11), 1422–1433.</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Dohmen, T., Falk, A., Huffman, D., Sunde, U., Schupp, J., &amp; Wagner, G. G. (2011). Individual risk attitudes: Measurement, determinants, and behavioral consequences. </w:t>
      </w:r>
      <w:r w:rsidRPr="00987840">
        <w:rPr>
          <w:rFonts w:cs="Times New Roman"/>
          <w:i/>
          <w:iCs/>
          <w:sz w:val="22"/>
        </w:rPr>
        <w:t>Journal of the European Economic Association</w:t>
      </w:r>
      <w:r w:rsidRPr="00987840">
        <w:rPr>
          <w:rFonts w:cs="Times New Roman"/>
          <w:sz w:val="22"/>
        </w:rPr>
        <w:t xml:space="preserve">, </w:t>
      </w:r>
      <w:r w:rsidRPr="00987840">
        <w:rPr>
          <w:rFonts w:cs="Times New Roman"/>
          <w:i/>
          <w:iCs/>
          <w:sz w:val="22"/>
        </w:rPr>
        <w:t>9</w:t>
      </w:r>
      <w:r w:rsidRPr="00987840">
        <w:rPr>
          <w:rFonts w:cs="Times New Roman"/>
          <w:sz w:val="22"/>
        </w:rPr>
        <w:t>(3), 522–550.</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Dovey, K. (2009). The role of trust in innovation. </w:t>
      </w:r>
      <w:r w:rsidRPr="00987840">
        <w:rPr>
          <w:rFonts w:cs="Times New Roman"/>
          <w:i/>
          <w:iCs/>
          <w:sz w:val="22"/>
        </w:rPr>
        <w:t>The Learning Organization</w:t>
      </w:r>
      <w:r w:rsidRPr="00987840">
        <w:rPr>
          <w:rFonts w:cs="Times New Roman"/>
          <w:sz w:val="22"/>
        </w:rPr>
        <w:t xml:space="preserve">, </w:t>
      </w:r>
      <w:r w:rsidRPr="00987840">
        <w:rPr>
          <w:rFonts w:cs="Times New Roman"/>
          <w:i/>
          <w:iCs/>
          <w:sz w:val="22"/>
        </w:rPr>
        <w:t>16</w:t>
      </w:r>
      <w:r w:rsidRPr="00987840">
        <w:rPr>
          <w:rFonts w:cs="Times New Roman"/>
          <w:sz w:val="22"/>
        </w:rPr>
        <w:t>(4), 311–325.</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Ederer, F., &amp; Manso, G. (2013). Is pay for performance detrimental to innovation?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59</w:t>
      </w:r>
      <w:r w:rsidRPr="00987840">
        <w:rPr>
          <w:rFonts w:cs="Times New Roman"/>
          <w:sz w:val="22"/>
        </w:rPr>
        <w:t>(7), 1496–1513.</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Eisenhardt, K. M. (1989). Agency theory: An assessment and review. </w:t>
      </w:r>
      <w:r w:rsidRPr="00987840">
        <w:rPr>
          <w:rFonts w:cs="Times New Roman"/>
          <w:i/>
          <w:iCs/>
          <w:sz w:val="22"/>
        </w:rPr>
        <w:t>Academy of Management Review</w:t>
      </w:r>
      <w:r w:rsidRPr="00987840">
        <w:rPr>
          <w:rFonts w:cs="Times New Roman"/>
          <w:sz w:val="22"/>
        </w:rPr>
        <w:t xml:space="preserve">, </w:t>
      </w:r>
      <w:r w:rsidRPr="00987840">
        <w:rPr>
          <w:rFonts w:cs="Times New Roman"/>
          <w:i/>
          <w:iCs/>
          <w:sz w:val="22"/>
        </w:rPr>
        <w:t>14</w:t>
      </w:r>
      <w:r w:rsidRPr="00987840">
        <w:rPr>
          <w:rFonts w:cs="Times New Roman"/>
          <w:sz w:val="22"/>
        </w:rPr>
        <w:t>(1), 57–74.</w:t>
      </w:r>
    </w:p>
    <w:p w:rsidR="00987840" w:rsidRPr="00987840" w:rsidRDefault="00987840" w:rsidP="00987840">
      <w:pPr>
        <w:pStyle w:val="Bibliography"/>
        <w:spacing w:line="240" w:lineRule="auto"/>
        <w:rPr>
          <w:rFonts w:cs="Times New Roman"/>
          <w:sz w:val="22"/>
        </w:rPr>
      </w:pPr>
      <w:r w:rsidRPr="00987840">
        <w:rPr>
          <w:rFonts w:cs="Times New Roman"/>
          <w:sz w:val="22"/>
        </w:rPr>
        <w:lastRenderedPageBreak/>
        <w:t xml:space="preserve">Faems, D., Janssens, M., Madhok, A., &amp; Looy, B. V. (2008). Toward an integrative perspective on alliance governance: Connecting contract design, trust dynamics, and contract application. </w:t>
      </w:r>
      <w:r w:rsidRPr="00987840">
        <w:rPr>
          <w:rFonts w:cs="Times New Roman"/>
          <w:i/>
          <w:iCs/>
          <w:sz w:val="22"/>
        </w:rPr>
        <w:t>Academy of Management Journal</w:t>
      </w:r>
      <w:r w:rsidRPr="00987840">
        <w:rPr>
          <w:rFonts w:cs="Times New Roman"/>
          <w:sz w:val="22"/>
        </w:rPr>
        <w:t xml:space="preserve">, </w:t>
      </w:r>
      <w:r w:rsidRPr="00987840">
        <w:rPr>
          <w:rFonts w:cs="Times New Roman"/>
          <w:i/>
          <w:iCs/>
          <w:sz w:val="22"/>
        </w:rPr>
        <w:t>51</w:t>
      </w:r>
      <w:r w:rsidRPr="00987840">
        <w:rPr>
          <w:rFonts w:cs="Times New Roman"/>
          <w:sz w:val="22"/>
        </w:rPr>
        <w:t>(6), 1053–1078.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Gallouj, F., &amp; Weinstein, O. (1997). Innovation in services. </w:t>
      </w:r>
      <w:r w:rsidRPr="00987840">
        <w:rPr>
          <w:rFonts w:cs="Times New Roman"/>
          <w:i/>
          <w:iCs/>
          <w:sz w:val="22"/>
        </w:rPr>
        <w:t>Research Policy</w:t>
      </w:r>
      <w:r w:rsidRPr="00987840">
        <w:rPr>
          <w:rFonts w:cs="Times New Roman"/>
          <w:sz w:val="22"/>
        </w:rPr>
        <w:t xml:space="preserve">, </w:t>
      </w:r>
      <w:r w:rsidRPr="00987840">
        <w:rPr>
          <w:rFonts w:cs="Times New Roman"/>
          <w:i/>
          <w:iCs/>
          <w:sz w:val="22"/>
        </w:rPr>
        <w:t>26</w:t>
      </w:r>
      <w:r w:rsidRPr="00987840">
        <w:rPr>
          <w:rFonts w:cs="Times New Roman"/>
          <w:sz w:val="22"/>
        </w:rPr>
        <w:t>(4–5), 537–556.</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Gates, L. B., Klein, S. W., Akabas, S. H., Myers, R., Schwager, M., &amp; Kaelin-Kee, J. (2004). Performance-based contracting: turning vocational policy into jobs. </w:t>
      </w:r>
      <w:r w:rsidRPr="00987840">
        <w:rPr>
          <w:rFonts w:cs="Times New Roman"/>
          <w:i/>
          <w:iCs/>
          <w:sz w:val="22"/>
        </w:rPr>
        <w:t>Administration and Policy in Mental Health</w:t>
      </w:r>
      <w:r w:rsidRPr="00987840">
        <w:rPr>
          <w:rFonts w:cs="Times New Roman"/>
          <w:sz w:val="22"/>
        </w:rPr>
        <w:t xml:space="preserve">, </w:t>
      </w:r>
      <w:r w:rsidRPr="00987840">
        <w:rPr>
          <w:rFonts w:cs="Times New Roman"/>
          <w:i/>
          <w:iCs/>
          <w:sz w:val="22"/>
        </w:rPr>
        <w:t>31</w:t>
      </w:r>
      <w:r w:rsidRPr="00987840">
        <w:rPr>
          <w:rFonts w:cs="Times New Roman"/>
          <w:sz w:val="22"/>
        </w:rPr>
        <w:t>(3), 219–240.</w:t>
      </w:r>
    </w:p>
    <w:p w:rsidR="00987840" w:rsidRPr="00987840" w:rsidRDefault="00987840" w:rsidP="00987840">
      <w:pPr>
        <w:pStyle w:val="Bibliography"/>
        <w:spacing w:line="240" w:lineRule="auto"/>
        <w:rPr>
          <w:rFonts w:cs="Times New Roman"/>
          <w:sz w:val="22"/>
        </w:rPr>
      </w:pPr>
      <w:r w:rsidRPr="00987840">
        <w:rPr>
          <w:rFonts w:cs="Times New Roman"/>
          <w:sz w:val="22"/>
          <w:lang w:val="nl-NL"/>
        </w:rPr>
        <w:t xml:space="preserve">Gopal, A., &amp; Koka, B. R. (2010). </w:t>
      </w:r>
      <w:r w:rsidRPr="00987840">
        <w:rPr>
          <w:rFonts w:cs="Times New Roman"/>
          <w:sz w:val="22"/>
        </w:rPr>
        <w:t xml:space="preserve">The role of contracts on quality and returns to quality in offshore software development outsourcing. </w:t>
      </w:r>
      <w:r w:rsidRPr="00987840">
        <w:rPr>
          <w:rFonts w:cs="Times New Roman"/>
          <w:i/>
          <w:iCs/>
          <w:sz w:val="22"/>
        </w:rPr>
        <w:t>Decision Sciences</w:t>
      </w:r>
      <w:r w:rsidRPr="00987840">
        <w:rPr>
          <w:rFonts w:cs="Times New Roman"/>
          <w:sz w:val="22"/>
        </w:rPr>
        <w:t xml:space="preserve">, </w:t>
      </w:r>
      <w:r w:rsidRPr="00987840">
        <w:rPr>
          <w:rFonts w:cs="Times New Roman"/>
          <w:i/>
          <w:iCs/>
          <w:sz w:val="22"/>
        </w:rPr>
        <w:t>41</w:t>
      </w:r>
      <w:r w:rsidRPr="00987840">
        <w:rPr>
          <w:rFonts w:cs="Times New Roman"/>
          <w:sz w:val="22"/>
        </w:rPr>
        <w:t>(3), 491–516.</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Green, R. (2003). Measuring goodwill trust between groups of people: Three years of an oil industry alliance. </w:t>
      </w:r>
      <w:r w:rsidRPr="00987840">
        <w:rPr>
          <w:rFonts w:cs="Times New Roman"/>
          <w:i/>
          <w:iCs/>
          <w:sz w:val="22"/>
        </w:rPr>
        <w:t>Strategic Change</w:t>
      </w:r>
      <w:r w:rsidRPr="00987840">
        <w:rPr>
          <w:rFonts w:cs="Times New Roman"/>
          <w:sz w:val="22"/>
        </w:rPr>
        <w:t xml:space="preserve">, </w:t>
      </w:r>
      <w:r w:rsidRPr="00987840">
        <w:rPr>
          <w:rFonts w:cs="Times New Roman"/>
          <w:i/>
          <w:iCs/>
          <w:sz w:val="22"/>
        </w:rPr>
        <w:t>12</w:t>
      </w:r>
      <w:r w:rsidRPr="00987840">
        <w:rPr>
          <w:rFonts w:cs="Times New Roman"/>
          <w:sz w:val="22"/>
        </w:rPr>
        <w:t>(7), 367–379.</w:t>
      </w:r>
    </w:p>
    <w:p w:rsidR="00987840" w:rsidRPr="00987840" w:rsidRDefault="00987840" w:rsidP="00987840">
      <w:pPr>
        <w:pStyle w:val="Bibliography"/>
        <w:spacing w:line="240" w:lineRule="auto"/>
        <w:rPr>
          <w:rFonts w:cs="Times New Roman"/>
          <w:sz w:val="22"/>
        </w:rPr>
      </w:pPr>
      <w:r w:rsidRPr="00987840">
        <w:rPr>
          <w:rFonts w:cs="Times New Roman"/>
          <w:sz w:val="22"/>
        </w:rPr>
        <w:t>Gruneberg, S., Hughes, W., &amp; Ancell, D. (2007). Risk under performance</w:t>
      </w:r>
      <w:r w:rsidRPr="00987840">
        <w:rPr>
          <w:rFonts w:ascii="Cambria Math" w:hAnsi="Cambria Math" w:cs="Cambria Math"/>
          <w:sz w:val="22"/>
        </w:rPr>
        <w:t>‐</w:t>
      </w:r>
      <w:r w:rsidRPr="00987840">
        <w:rPr>
          <w:rFonts w:cs="Times New Roman"/>
          <w:sz w:val="22"/>
        </w:rPr>
        <w:t xml:space="preserve">based contracting in the UK construction sector. </w:t>
      </w:r>
      <w:r w:rsidRPr="00987840">
        <w:rPr>
          <w:rFonts w:cs="Times New Roman"/>
          <w:i/>
          <w:iCs/>
          <w:sz w:val="22"/>
        </w:rPr>
        <w:t>Construction Management and Economics</w:t>
      </w:r>
      <w:r w:rsidRPr="00987840">
        <w:rPr>
          <w:rFonts w:cs="Times New Roman"/>
          <w:sz w:val="22"/>
        </w:rPr>
        <w:t xml:space="preserve">, </w:t>
      </w:r>
      <w:r w:rsidRPr="00987840">
        <w:rPr>
          <w:rFonts w:cs="Times New Roman"/>
          <w:i/>
          <w:iCs/>
          <w:sz w:val="22"/>
        </w:rPr>
        <w:t>25</w:t>
      </w:r>
      <w:r w:rsidRPr="00987840">
        <w:rPr>
          <w:rFonts w:cs="Times New Roman"/>
          <w:sz w:val="22"/>
        </w:rPr>
        <w:t>(7), 691–699.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Hart, O., &amp; Moore, J. (1999). Foundations of incomplete contracts. </w:t>
      </w:r>
      <w:r w:rsidRPr="00987840">
        <w:rPr>
          <w:rFonts w:cs="Times New Roman"/>
          <w:i/>
          <w:iCs/>
          <w:sz w:val="22"/>
        </w:rPr>
        <w:t>Review of Economic Studies</w:t>
      </w:r>
      <w:r w:rsidRPr="00987840">
        <w:rPr>
          <w:rFonts w:cs="Times New Roman"/>
          <w:sz w:val="22"/>
        </w:rPr>
        <w:t xml:space="preserve">, </w:t>
      </w:r>
      <w:r w:rsidRPr="00987840">
        <w:rPr>
          <w:rFonts w:cs="Times New Roman"/>
          <w:i/>
          <w:iCs/>
          <w:sz w:val="22"/>
        </w:rPr>
        <w:t>66</w:t>
      </w:r>
      <w:r w:rsidRPr="00987840">
        <w:rPr>
          <w:rFonts w:cs="Times New Roman"/>
          <w:sz w:val="22"/>
        </w:rPr>
        <w:t>(1), 115–38.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Heinrich, C. J., &amp; Choi, Y. (2007). Performance-based contracting in social welfare programs. </w:t>
      </w:r>
      <w:r w:rsidRPr="00987840">
        <w:rPr>
          <w:rFonts w:cs="Times New Roman"/>
          <w:i/>
          <w:iCs/>
          <w:sz w:val="22"/>
        </w:rPr>
        <w:t>The American Review of Public Administration</w:t>
      </w:r>
      <w:r w:rsidRPr="00987840">
        <w:rPr>
          <w:rFonts w:cs="Times New Roman"/>
          <w:sz w:val="22"/>
        </w:rPr>
        <w:t xml:space="preserve">, </w:t>
      </w:r>
      <w:r w:rsidRPr="00987840">
        <w:rPr>
          <w:rFonts w:cs="Times New Roman"/>
          <w:i/>
          <w:iCs/>
          <w:sz w:val="22"/>
        </w:rPr>
        <w:t>37</w:t>
      </w:r>
      <w:r w:rsidRPr="00987840">
        <w:rPr>
          <w:rFonts w:cs="Times New Roman"/>
          <w:sz w:val="22"/>
        </w:rPr>
        <w:t>(4), 409–435.</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Hertog, P. D. (2000). Knowledge-intensive business services as co-producers of innovation. </w:t>
      </w:r>
      <w:r w:rsidRPr="00987840">
        <w:rPr>
          <w:rFonts w:cs="Times New Roman"/>
          <w:i/>
          <w:iCs/>
          <w:sz w:val="22"/>
        </w:rPr>
        <w:t>International Journal of Innovation Management</w:t>
      </w:r>
      <w:r w:rsidRPr="00987840">
        <w:rPr>
          <w:rFonts w:cs="Times New Roman"/>
          <w:sz w:val="22"/>
        </w:rPr>
        <w:t xml:space="preserve">, </w:t>
      </w:r>
      <w:r w:rsidRPr="00987840">
        <w:rPr>
          <w:rFonts w:cs="Times New Roman"/>
          <w:i/>
          <w:iCs/>
          <w:sz w:val="22"/>
        </w:rPr>
        <w:t>04</w:t>
      </w:r>
      <w:r w:rsidRPr="00987840">
        <w:rPr>
          <w:rFonts w:cs="Times New Roman"/>
          <w:sz w:val="22"/>
        </w:rPr>
        <w:t>(4), 491–528.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Hunter, S. T., Bedell, K. E., &amp; Mumford, M. D. (2007). Climate for creativity: A quantitative review. </w:t>
      </w:r>
      <w:r w:rsidRPr="00987840">
        <w:rPr>
          <w:rFonts w:cs="Times New Roman"/>
          <w:i/>
          <w:iCs/>
          <w:sz w:val="22"/>
        </w:rPr>
        <w:t>Creativity Research Journal</w:t>
      </w:r>
      <w:r w:rsidRPr="00987840">
        <w:rPr>
          <w:rFonts w:cs="Times New Roman"/>
          <w:sz w:val="22"/>
        </w:rPr>
        <w:t xml:space="preserve">, </w:t>
      </w:r>
      <w:r w:rsidRPr="00987840">
        <w:rPr>
          <w:rFonts w:cs="Times New Roman"/>
          <w:i/>
          <w:iCs/>
          <w:sz w:val="22"/>
        </w:rPr>
        <w:t>19</w:t>
      </w:r>
      <w:r w:rsidRPr="00987840">
        <w:rPr>
          <w:rFonts w:cs="Times New Roman"/>
          <w:sz w:val="22"/>
        </w:rPr>
        <w:t>(1), 69–90.</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Hypko, P., Tilebein, M., &amp; Gleich, R. (2010). Clarifying the concept of performance-based contracting in manufacturing industries: A research synthesis. </w:t>
      </w:r>
      <w:r w:rsidRPr="00987840">
        <w:rPr>
          <w:rFonts w:cs="Times New Roman"/>
          <w:i/>
          <w:iCs/>
          <w:sz w:val="22"/>
        </w:rPr>
        <w:t>Journal of Service Management</w:t>
      </w:r>
      <w:r w:rsidRPr="00987840">
        <w:rPr>
          <w:rFonts w:cs="Times New Roman"/>
          <w:sz w:val="22"/>
        </w:rPr>
        <w:t xml:space="preserve">, </w:t>
      </w:r>
      <w:r w:rsidRPr="00987840">
        <w:rPr>
          <w:rFonts w:cs="Times New Roman"/>
          <w:i/>
          <w:iCs/>
          <w:sz w:val="22"/>
        </w:rPr>
        <w:t>21</w:t>
      </w:r>
      <w:r w:rsidRPr="00987840">
        <w:rPr>
          <w:rFonts w:cs="Times New Roman"/>
          <w:sz w:val="22"/>
        </w:rPr>
        <w:t>(5), 625–655.</w:t>
      </w:r>
    </w:p>
    <w:p w:rsidR="00987840" w:rsidRPr="00987840" w:rsidRDefault="00987840" w:rsidP="00987840">
      <w:pPr>
        <w:pStyle w:val="Bibliography"/>
        <w:spacing w:line="240" w:lineRule="auto"/>
        <w:rPr>
          <w:rFonts w:cs="Times New Roman"/>
          <w:sz w:val="22"/>
          <w:lang w:val="nl-NL"/>
        </w:rPr>
      </w:pPr>
      <w:r w:rsidRPr="00987840">
        <w:rPr>
          <w:rFonts w:cs="Times New Roman"/>
          <w:sz w:val="22"/>
        </w:rPr>
        <w:t xml:space="preserve">Im, G., &amp; Rai, A. (2008). Knowledge sharing ambidexterity in long-term interorganizational relationships. </w:t>
      </w:r>
      <w:r w:rsidRPr="00987840">
        <w:rPr>
          <w:rFonts w:cs="Times New Roman"/>
          <w:i/>
          <w:iCs/>
          <w:sz w:val="22"/>
          <w:lang w:val="nl-NL"/>
        </w:rPr>
        <w:t>Management Science</w:t>
      </w:r>
      <w:r w:rsidRPr="00987840">
        <w:rPr>
          <w:rFonts w:cs="Times New Roman"/>
          <w:sz w:val="22"/>
          <w:lang w:val="nl-NL"/>
        </w:rPr>
        <w:t xml:space="preserve">, </w:t>
      </w:r>
      <w:r w:rsidRPr="00987840">
        <w:rPr>
          <w:rFonts w:cs="Times New Roman"/>
          <w:i/>
          <w:iCs/>
          <w:sz w:val="22"/>
          <w:lang w:val="nl-NL"/>
        </w:rPr>
        <w:t>54</w:t>
      </w:r>
      <w:r w:rsidRPr="00987840">
        <w:rPr>
          <w:rFonts w:cs="Times New Roman"/>
          <w:sz w:val="22"/>
          <w:lang w:val="nl-NL"/>
        </w:rPr>
        <w:t>(7), 1281–1296.</w:t>
      </w:r>
    </w:p>
    <w:p w:rsidR="00987840" w:rsidRPr="00B62750" w:rsidRDefault="00987840" w:rsidP="00987840">
      <w:pPr>
        <w:pStyle w:val="Bibliography"/>
        <w:spacing w:line="240" w:lineRule="auto"/>
        <w:rPr>
          <w:rFonts w:cs="Times New Roman"/>
          <w:sz w:val="22"/>
        </w:rPr>
      </w:pPr>
      <w:r w:rsidRPr="00987840">
        <w:rPr>
          <w:rFonts w:cs="Times New Roman"/>
          <w:sz w:val="22"/>
          <w:lang w:val="nl-NL"/>
        </w:rPr>
        <w:t xml:space="preserve">Jansen, J. J. P., Van Den Bosch, F. A. J., &amp; Volberda, H. W. (2006). </w:t>
      </w:r>
      <w:r w:rsidRPr="00987840">
        <w:rPr>
          <w:rFonts w:cs="Times New Roman"/>
          <w:sz w:val="22"/>
        </w:rPr>
        <w:t xml:space="preserve">Exploratory innovation, exploitative innovation, and performance: Effects of organizational antecedents and environmental moderators. </w:t>
      </w:r>
      <w:r w:rsidRPr="00B62750">
        <w:rPr>
          <w:rFonts w:cs="Times New Roman"/>
          <w:i/>
          <w:iCs/>
          <w:sz w:val="22"/>
        </w:rPr>
        <w:t>Management Science</w:t>
      </w:r>
      <w:r w:rsidRPr="00B62750">
        <w:rPr>
          <w:rFonts w:cs="Times New Roman"/>
          <w:sz w:val="22"/>
        </w:rPr>
        <w:t xml:space="preserve">, </w:t>
      </w:r>
      <w:r w:rsidRPr="00B62750">
        <w:rPr>
          <w:rFonts w:cs="Times New Roman"/>
          <w:i/>
          <w:iCs/>
          <w:sz w:val="22"/>
        </w:rPr>
        <w:t>52</w:t>
      </w:r>
      <w:r w:rsidRPr="00B62750">
        <w:rPr>
          <w:rFonts w:cs="Times New Roman"/>
          <w:sz w:val="22"/>
        </w:rPr>
        <w:t>(11), 1661–1674.</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Jaworski, B. J., Stathakopoulos, V., &amp; Krishnan, H. S. (1993). Control combinations in marketing: Conceptual framework and empirical evidence. </w:t>
      </w:r>
      <w:r w:rsidRPr="00987840">
        <w:rPr>
          <w:rFonts w:cs="Times New Roman"/>
          <w:i/>
          <w:iCs/>
          <w:sz w:val="22"/>
        </w:rPr>
        <w:t>Journal of Marketing</w:t>
      </w:r>
      <w:r w:rsidRPr="00987840">
        <w:rPr>
          <w:rFonts w:cs="Times New Roman"/>
          <w:sz w:val="22"/>
        </w:rPr>
        <w:t xml:space="preserve">, </w:t>
      </w:r>
      <w:r w:rsidRPr="00987840">
        <w:rPr>
          <w:rFonts w:cs="Times New Roman"/>
          <w:i/>
          <w:iCs/>
          <w:sz w:val="22"/>
        </w:rPr>
        <w:t>57</w:t>
      </w:r>
      <w:r w:rsidRPr="00987840">
        <w:rPr>
          <w:rFonts w:cs="Times New Roman"/>
          <w:sz w:val="22"/>
        </w:rPr>
        <w:t>(1), 57–69.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Johnson, W. H. A., &amp; Medcof, J. W. (2007). Motivating proactive subsidiary innovation: Agent-based theory and socialization models in global R&amp;D. </w:t>
      </w:r>
      <w:r w:rsidRPr="00987840">
        <w:rPr>
          <w:rFonts w:cs="Times New Roman"/>
          <w:i/>
          <w:iCs/>
          <w:sz w:val="22"/>
        </w:rPr>
        <w:t>Journal of International Management</w:t>
      </w:r>
      <w:r w:rsidRPr="00987840">
        <w:rPr>
          <w:rFonts w:cs="Times New Roman"/>
          <w:sz w:val="22"/>
        </w:rPr>
        <w:t xml:space="preserve">, </w:t>
      </w:r>
      <w:r w:rsidRPr="00987840">
        <w:rPr>
          <w:rFonts w:cs="Times New Roman"/>
          <w:i/>
          <w:iCs/>
          <w:sz w:val="22"/>
        </w:rPr>
        <w:t>13</w:t>
      </w:r>
      <w:r w:rsidRPr="00987840">
        <w:rPr>
          <w:rFonts w:cs="Times New Roman"/>
          <w:sz w:val="22"/>
        </w:rPr>
        <w:t>(4), 472–487.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Kim, S.-H., Cohen, M. A., &amp; Netessine, S. (2007). Performance contracting in after-sales service supply chains.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53</w:t>
      </w:r>
      <w:r w:rsidRPr="00987840">
        <w:rPr>
          <w:rFonts w:cs="Times New Roman"/>
          <w:sz w:val="22"/>
        </w:rPr>
        <w:t>(12), 1843–1858.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Kim, S.-H., Cohen, M. A., Netessine, S., &amp; Veeraraghavan, S. (2010). Contracting for infrequent restoration and recovery of mission-critical systems.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56</w:t>
      </w:r>
      <w:r w:rsidRPr="00987840">
        <w:rPr>
          <w:rFonts w:cs="Times New Roman"/>
          <w:sz w:val="22"/>
        </w:rPr>
        <w:t>(9), 1551–1567.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Kloyer, M., &amp; Scholderer, J. (2012). Effective incomplete contracts and milestones in market-distant R&amp;D collaboration. </w:t>
      </w:r>
      <w:r w:rsidRPr="00987840">
        <w:rPr>
          <w:rFonts w:cs="Times New Roman"/>
          <w:i/>
          <w:iCs/>
          <w:sz w:val="22"/>
        </w:rPr>
        <w:t>Research Policy</w:t>
      </w:r>
      <w:r w:rsidRPr="00987840">
        <w:rPr>
          <w:rFonts w:cs="Times New Roman"/>
          <w:sz w:val="22"/>
        </w:rPr>
        <w:t xml:space="preserve">, </w:t>
      </w:r>
      <w:r w:rsidRPr="00987840">
        <w:rPr>
          <w:rFonts w:cs="Times New Roman"/>
          <w:i/>
          <w:iCs/>
          <w:sz w:val="22"/>
        </w:rPr>
        <w:t>41</w:t>
      </w:r>
      <w:r w:rsidRPr="00987840">
        <w:rPr>
          <w:rFonts w:cs="Times New Roman"/>
          <w:sz w:val="22"/>
        </w:rPr>
        <w:t>(2), 346–357.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Koberg, C. S., Detienne, D. R., &amp; Heppard, K. A. (2003). An empirical test of environmental, organizational, and process factors affecting incremental and radical innovation. </w:t>
      </w:r>
      <w:r w:rsidRPr="00987840">
        <w:rPr>
          <w:rFonts w:cs="Times New Roman"/>
          <w:i/>
          <w:iCs/>
          <w:sz w:val="22"/>
        </w:rPr>
        <w:t>The Journal of High Technology Management Research</w:t>
      </w:r>
      <w:r w:rsidRPr="00987840">
        <w:rPr>
          <w:rFonts w:cs="Times New Roman"/>
          <w:sz w:val="22"/>
        </w:rPr>
        <w:t xml:space="preserve">, </w:t>
      </w:r>
      <w:r w:rsidRPr="00987840">
        <w:rPr>
          <w:rFonts w:cs="Times New Roman"/>
          <w:i/>
          <w:iCs/>
          <w:sz w:val="22"/>
        </w:rPr>
        <w:t>14</w:t>
      </w:r>
      <w:r w:rsidRPr="00987840">
        <w:rPr>
          <w:rFonts w:cs="Times New Roman"/>
          <w:sz w:val="22"/>
        </w:rPr>
        <w:t>(1), 21–45.</w:t>
      </w:r>
    </w:p>
    <w:p w:rsidR="00987840" w:rsidRPr="00987840" w:rsidRDefault="00987840" w:rsidP="00987840">
      <w:pPr>
        <w:pStyle w:val="Bibliography"/>
        <w:spacing w:line="240" w:lineRule="auto"/>
        <w:rPr>
          <w:rFonts w:cs="Times New Roman"/>
          <w:sz w:val="22"/>
        </w:rPr>
      </w:pPr>
      <w:r w:rsidRPr="00B62750">
        <w:rPr>
          <w:rFonts w:cs="Times New Roman"/>
          <w:sz w:val="22"/>
        </w:rPr>
        <w:t xml:space="preserve">Lui, S. S., &amp; Ngo, H.-Y. (2004). </w:t>
      </w:r>
      <w:r w:rsidRPr="00987840">
        <w:rPr>
          <w:rFonts w:cs="Times New Roman"/>
          <w:sz w:val="22"/>
        </w:rPr>
        <w:t xml:space="preserve">The role of trust and contractual safeguards on cooperation in non-equity alliances. </w:t>
      </w:r>
      <w:r w:rsidRPr="00987840">
        <w:rPr>
          <w:rFonts w:cs="Times New Roman"/>
          <w:i/>
          <w:iCs/>
          <w:sz w:val="22"/>
        </w:rPr>
        <w:t>Journal of Management</w:t>
      </w:r>
      <w:r w:rsidRPr="00987840">
        <w:rPr>
          <w:rFonts w:cs="Times New Roman"/>
          <w:sz w:val="22"/>
        </w:rPr>
        <w:t xml:space="preserve">, </w:t>
      </w:r>
      <w:r w:rsidRPr="00987840">
        <w:rPr>
          <w:rFonts w:cs="Times New Roman"/>
          <w:i/>
          <w:iCs/>
          <w:sz w:val="22"/>
        </w:rPr>
        <w:t>30</w:t>
      </w:r>
      <w:r w:rsidRPr="00987840">
        <w:rPr>
          <w:rFonts w:cs="Times New Roman"/>
          <w:sz w:val="22"/>
        </w:rPr>
        <w:t>(4), 471–485.</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Lumpkin, G. T., &amp; Dess, G. G. (1996). Clarifying the entrepreneurial orientation construct and linking it to performance. </w:t>
      </w:r>
      <w:r w:rsidRPr="00987840">
        <w:rPr>
          <w:rFonts w:cs="Times New Roman"/>
          <w:i/>
          <w:iCs/>
          <w:sz w:val="22"/>
        </w:rPr>
        <w:t>Academy of Management Review</w:t>
      </w:r>
      <w:r w:rsidRPr="00987840">
        <w:rPr>
          <w:rFonts w:cs="Times New Roman"/>
          <w:sz w:val="22"/>
        </w:rPr>
        <w:t xml:space="preserve">, </w:t>
      </w:r>
      <w:r w:rsidRPr="00987840">
        <w:rPr>
          <w:rFonts w:cs="Times New Roman"/>
          <w:i/>
          <w:iCs/>
          <w:sz w:val="22"/>
        </w:rPr>
        <w:t>21</w:t>
      </w:r>
      <w:r w:rsidRPr="00987840">
        <w:rPr>
          <w:rFonts w:cs="Times New Roman"/>
          <w:sz w:val="22"/>
        </w:rPr>
        <w:t>(1), 135–172.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Lyons, B. R. (1996). Empirical relevance of efficient contract theory: inter-firm contracts. </w:t>
      </w:r>
      <w:r w:rsidRPr="00987840">
        <w:rPr>
          <w:rFonts w:cs="Times New Roman"/>
          <w:i/>
          <w:iCs/>
          <w:sz w:val="22"/>
        </w:rPr>
        <w:t>Oxford Review of Economic Policy</w:t>
      </w:r>
      <w:r w:rsidRPr="00987840">
        <w:rPr>
          <w:rFonts w:cs="Times New Roman"/>
          <w:sz w:val="22"/>
        </w:rPr>
        <w:t xml:space="preserve">, </w:t>
      </w:r>
      <w:r w:rsidRPr="00987840">
        <w:rPr>
          <w:rFonts w:cs="Times New Roman"/>
          <w:i/>
          <w:iCs/>
          <w:sz w:val="22"/>
        </w:rPr>
        <w:t>12</w:t>
      </w:r>
      <w:r w:rsidRPr="00987840">
        <w:rPr>
          <w:rFonts w:cs="Times New Roman"/>
          <w:sz w:val="22"/>
        </w:rPr>
        <w:t>(4), 27–52.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Makri, M., Lane, P. J., &amp; Gomez-Mejia, L. R. (2006). CEO incentives, innovation, and performance in technology-intensive firms: A reconciliation of outcome and behavior-based incentive schemes. </w:t>
      </w:r>
      <w:r w:rsidRPr="00987840">
        <w:rPr>
          <w:rFonts w:cs="Times New Roman"/>
          <w:i/>
          <w:iCs/>
          <w:sz w:val="22"/>
        </w:rPr>
        <w:t>Strategic Management Journal</w:t>
      </w:r>
      <w:r w:rsidRPr="00987840">
        <w:rPr>
          <w:rFonts w:cs="Times New Roman"/>
          <w:sz w:val="22"/>
        </w:rPr>
        <w:t xml:space="preserve">, </w:t>
      </w:r>
      <w:r w:rsidRPr="00987840">
        <w:rPr>
          <w:rFonts w:cs="Times New Roman"/>
          <w:i/>
          <w:iCs/>
          <w:sz w:val="22"/>
        </w:rPr>
        <w:t>27</w:t>
      </w:r>
      <w:r w:rsidRPr="00987840">
        <w:rPr>
          <w:rFonts w:cs="Times New Roman"/>
          <w:sz w:val="22"/>
        </w:rPr>
        <w:t>(11), 1057–1080.</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Martin, L. L. (2002). Performance-based contracting for human services: Lessons for public procurement? </w:t>
      </w:r>
      <w:r w:rsidRPr="00987840">
        <w:rPr>
          <w:rFonts w:cs="Times New Roman"/>
          <w:i/>
          <w:iCs/>
          <w:sz w:val="22"/>
        </w:rPr>
        <w:t>Journal of Public Procurement</w:t>
      </w:r>
      <w:r w:rsidRPr="00987840">
        <w:rPr>
          <w:rFonts w:cs="Times New Roman"/>
          <w:sz w:val="22"/>
        </w:rPr>
        <w:t xml:space="preserve">, </w:t>
      </w:r>
      <w:r w:rsidRPr="00987840">
        <w:rPr>
          <w:rFonts w:cs="Times New Roman"/>
          <w:i/>
          <w:iCs/>
          <w:sz w:val="22"/>
        </w:rPr>
        <w:t>2</w:t>
      </w:r>
      <w:r w:rsidRPr="00987840">
        <w:rPr>
          <w:rFonts w:cs="Times New Roman"/>
          <w:sz w:val="22"/>
        </w:rPr>
        <w:t>(1), 55–71.</w:t>
      </w:r>
    </w:p>
    <w:p w:rsidR="00987840" w:rsidRPr="00987840" w:rsidRDefault="00987840" w:rsidP="00987840">
      <w:pPr>
        <w:pStyle w:val="Bibliography"/>
        <w:spacing w:line="240" w:lineRule="auto"/>
        <w:rPr>
          <w:rFonts w:cs="Times New Roman"/>
          <w:sz w:val="22"/>
        </w:rPr>
      </w:pPr>
      <w:r w:rsidRPr="00987840">
        <w:rPr>
          <w:rFonts w:cs="Times New Roman"/>
          <w:sz w:val="22"/>
        </w:rPr>
        <w:lastRenderedPageBreak/>
        <w:t xml:space="preserve">Mayer, K. J. (2006). Spillovers and governance: An analysis of knowledge and reputational spillovers in information technology. </w:t>
      </w:r>
      <w:r w:rsidRPr="00987840">
        <w:rPr>
          <w:rFonts w:cs="Times New Roman"/>
          <w:i/>
          <w:iCs/>
          <w:sz w:val="22"/>
        </w:rPr>
        <w:t>Academy of Management Journal</w:t>
      </w:r>
      <w:r w:rsidRPr="00987840">
        <w:rPr>
          <w:rFonts w:cs="Times New Roman"/>
          <w:sz w:val="22"/>
        </w:rPr>
        <w:t xml:space="preserve">, </w:t>
      </w:r>
      <w:r w:rsidRPr="00987840">
        <w:rPr>
          <w:rFonts w:cs="Times New Roman"/>
          <w:i/>
          <w:iCs/>
          <w:sz w:val="22"/>
        </w:rPr>
        <w:t>49</w:t>
      </w:r>
      <w:r w:rsidRPr="00987840">
        <w:rPr>
          <w:rFonts w:cs="Times New Roman"/>
          <w:sz w:val="22"/>
        </w:rPr>
        <w:t>(1), 69–84.</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Mayer, K. J., &amp; Argyres, N. S. (2004). Learning to contract: Evidence from the personal computer industry. </w:t>
      </w:r>
      <w:r w:rsidRPr="00987840">
        <w:rPr>
          <w:rFonts w:cs="Times New Roman"/>
          <w:i/>
          <w:iCs/>
          <w:sz w:val="22"/>
        </w:rPr>
        <w:t>Organization Science</w:t>
      </w:r>
      <w:r w:rsidRPr="00987840">
        <w:rPr>
          <w:rFonts w:cs="Times New Roman"/>
          <w:sz w:val="22"/>
        </w:rPr>
        <w:t xml:space="preserve">, </w:t>
      </w:r>
      <w:r w:rsidRPr="00987840">
        <w:rPr>
          <w:rFonts w:cs="Times New Roman"/>
          <w:i/>
          <w:iCs/>
          <w:sz w:val="22"/>
        </w:rPr>
        <w:t>15</w:t>
      </w:r>
      <w:r w:rsidRPr="00987840">
        <w:rPr>
          <w:rFonts w:cs="Times New Roman"/>
          <w:sz w:val="22"/>
        </w:rPr>
        <w:t>(4), 394–410.</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Mirzahosseinian, H., &amp; Piplani, R. (2011). A study of repairable parts inventory system operating under performance-based contract. </w:t>
      </w:r>
      <w:r w:rsidRPr="00987840">
        <w:rPr>
          <w:rFonts w:cs="Times New Roman"/>
          <w:i/>
          <w:iCs/>
          <w:sz w:val="22"/>
        </w:rPr>
        <w:t>European Journal of Operational Research</w:t>
      </w:r>
      <w:r w:rsidRPr="00987840">
        <w:rPr>
          <w:rFonts w:cs="Times New Roman"/>
          <w:sz w:val="22"/>
        </w:rPr>
        <w:t xml:space="preserve">, </w:t>
      </w:r>
      <w:r w:rsidRPr="00987840">
        <w:rPr>
          <w:rFonts w:cs="Times New Roman"/>
          <w:i/>
          <w:iCs/>
          <w:sz w:val="22"/>
        </w:rPr>
        <w:t>214</w:t>
      </w:r>
      <w:r w:rsidRPr="00987840">
        <w:rPr>
          <w:rFonts w:cs="Times New Roman"/>
          <w:sz w:val="22"/>
        </w:rPr>
        <w:t>(2), 256–261.</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Neely, A. (2009). Exploring the financial consequences of the servitization of manufacturing. </w:t>
      </w:r>
      <w:r w:rsidRPr="00987840">
        <w:rPr>
          <w:rFonts w:cs="Times New Roman"/>
          <w:i/>
          <w:iCs/>
          <w:sz w:val="22"/>
        </w:rPr>
        <w:t>Operations Management Research</w:t>
      </w:r>
      <w:r w:rsidRPr="00987840">
        <w:rPr>
          <w:rFonts w:cs="Times New Roman"/>
          <w:sz w:val="22"/>
        </w:rPr>
        <w:t xml:space="preserve">, </w:t>
      </w:r>
      <w:r w:rsidRPr="00987840">
        <w:rPr>
          <w:rFonts w:cs="Times New Roman"/>
          <w:i/>
          <w:iCs/>
          <w:sz w:val="22"/>
        </w:rPr>
        <w:t>1</w:t>
      </w:r>
      <w:r w:rsidRPr="00987840">
        <w:rPr>
          <w:rFonts w:cs="Times New Roman"/>
          <w:sz w:val="22"/>
        </w:rPr>
        <w:t>(2), 103–118.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Ng, I. C. L., Maull, R., &amp; Yip, N. (2009). Outcome-based contracts as a driver for systems thinking and service-dominant logic in service science: Evidence from the defence industry. </w:t>
      </w:r>
      <w:r w:rsidRPr="00987840">
        <w:rPr>
          <w:rFonts w:cs="Times New Roman"/>
          <w:i/>
          <w:iCs/>
          <w:sz w:val="22"/>
        </w:rPr>
        <w:t>European Management Journal</w:t>
      </w:r>
      <w:r w:rsidRPr="00987840">
        <w:rPr>
          <w:rFonts w:cs="Times New Roman"/>
          <w:sz w:val="22"/>
        </w:rPr>
        <w:t xml:space="preserve">, </w:t>
      </w:r>
      <w:r w:rsidRPr="00987840">
        <w:rPr>
          <w:rFonts w:cs="Times New Roman"/>
          <w:i/>
          <w:iCs/>
          <w:sz w:val="22"/>
        </w:rPr>
        <w:t>27</w:t>
      </w:r>
      <w:r w:rsidRPr="00987840">
        <w:rPr>
          <w:rFonts w:cs="Times New Roman"/>
          <w:sz w:val="22"/>
        </w:rPr>
        <w:t>(6), 377–387.</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Ng, I. C. L., &amp; Nudurupati, S. S. (2010). Outcome-based service contracts in the defence industry – mitigating the challenges. </w:t>
      </w:r>
      <w:r w:rsidRPr="00987840">
        <w:rPr>
          <w:rFonts w:cs="Times New Roman"/>
          <w:i/>
          <w:iCs/>
          <w:sz w:val="22"/>
        </w:rPr>
        <w:t>Journal of Service Management</w:t>
      </w:r>
      <w:r w:rsidRPr="00987840">
        <w:rPr>
          <w:rFonts w:cs="Times New Roman"/>
          <w:sz w:val="22"/>
        </w:rPr>
        <w:t xml:space="preserve">, </w:t>
      </w:r>
      <w:r w:rsidRPr="00987840">
        <w:rPr>
          <w:rFonts w:cs="Times New Roman"/>
          <w:i/>
          <w:iCs/>
          <w:sz w:val="22"/>
        </w:rPr>
        <w:t>21</w:t>
      </w:r>
      <w:r w:rsidRPr="00987840">
        <w:rPr>
          <w:rFonts w:cs="Times New Roman"/>
          <w:sz w:val="22"/>
        </w:rPr>
        <w:t>(5), 656–674.</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Nonaka, I., Toyama, R., &amp; Konno, N. (2000). SECI, Ba and leadership: A unified model of dynamic knowledge creation. </w:t>
      </w:r>
      <w:r w:rsidRPr="00987840">
        <w:rPr>
          <w:rFonts w:cs="Times New Roman"/>
          <w:i/>
          <w:iCs/>
          <w:sz w:val="22"/>
        </w:rPr>
        <w:t>Long Range Planning</w:t>
      </w:r>
      <w:r w:rsidRPr="00987840">
        <w:rPr>
          <w:rFonts w:cs="Times New Roman"/>
          <w:sz w:val="22"/>
        </w:rPr>
        <w:t xml:space="preserve">, </w:t>
      </w:r>
      <w:r w:rsidRPr="00987840">
        <w:rPr>
          <w:rFonts w:cs="Times New Roman"/>
          <w:i/>
          <w:iCs/>
          <w:sz w:val="22"/>
        </w:rPr>
        <w:t>33</w:t>
      </w:r>
      <w:r w:rsidRPr="00987840">
        <w:rPr>
          <w:rFonts w:cs="Times New Roman"/>
          <w:sz w:val="22"/>
        </w:rPr>
        <w:t>(1), 5–34.</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Parkhe, A. (1993). Strategic alliance structuring: A game theoretic and transaction cost examination of interfirm cooperation. </w:t>
      </w:r>
      <w:r w:rsidRPr="00987840">
        <w:rPr>
          <w:rFonts w:cs="Times New Roman"/>
          <w:i/>
          <w:iCs/>
          <w:sz w:val="22"/>
        </w:rPr>
        <w:t>Academy of Management Journal</w:t>
      </w:r>
      <w:r w:rsidRPr="00987840">
        <w:rPr>
          <w:rFonts w:cs="Times New Roman"/>
          <w:sz w:val="22"/>
        </w:rPr>
        <w:t xml:space="preserve">, </w:t>
      </w:r>
      <w:r w:rsidRPr="00987840">
        <w:rPr>
          <w:rFonts w:cs="Times New Roman"/>
          <w:i/>
          <w:iCs/>
          <w:sz w:val="22"/>
        </w:rPr>
        <w:t>36</w:t>
      </w:r>
      <w:r w:rsidRPr="00987840">
        <w:rPr>
          <w:rFonts w:cs="Times New Roman"/>
          <w:sz w:val="22"/>
        </w:rPr>
        <w:t>(4), 794–829.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Peng, D. X., &amp; Lai, F. (2012). Using partial least squares in operations management research: A practical guideline and summary of past research. </w:t>
      </w:r>
      <w:r w:rsidRPr="00987840">
        <w:rPr>
          <w:rFonts w:cs="Times New Roman"/>
          <w:i/>
          <w:iCs/>
          <w:sz w:val="22"/>
        </w:rPr>
        <w:t>Journal of Operations Management</w:t>
      </w:r>
      <w:r w:rsidRPr="00987840">
        <w:rPr>
          <w:rFonts w:cs="Times New Roman"/>
          <w:sz w:val="22"/>
        </w:rPr>
        <w:t xml:space="preserve">, </w:t>
      </w:r>
      <w:r w:rsidRPr="00987840">
        <w:rPr>
          <w:rFonts w:cs="Times New Roman"/>
          <w:i/>
          <w:iCs/>
          <w:sz w:val="22"/>
        </w:rPr>
        <w:t>30</w:t>
      </w:r>
      <w:r w:rsidRPr="00987840">
        <w:rPr>
          <w:rFonts w:cs="Times New Roman"/>
          <w:sz w:val="22"/>
        </w:rPr>
        <w:t>(6), 467–480.</w:t>
      </w:r>
    </w:p>
    <w:p w:rsidR="00987840" w:rsidRPr="00987840" w:rsidRDefault="00987840" w:rsidP="00987840">
      <w:pPr>
        <w:pStyle w:val="Bibliography"/>
        <w:spacing w:line="240" w:lineRule="auto"/>
        <w:rPr>
          <w:rFonts w:cs="Times New Roman"/>
          <w:sz w:val="22"/>
        </w:rPr>
      </w:pPr>
      <w:r w:rsidRPr="00987840">
        <w:rPr>
          <w:rFonts w:cs="Times New Roman"/>
          <w:sz w:val="22"/>
        </w:rPr>
        <w:t>Pennings, J. M. E., &amp; Garcia, P.</w:t>
      </w:r>
      <w:r w:rsidR="002978BC">
        <w:rPr>
          <w:rFonts w:cs="Times New Roman"/>
          <w:sz w:val="22"/>
        </w:rPr>
        <w:t xml:space="preserve"> (2001). Measuring producers’ Ri</w:t>
      </w:r>
      <w:r w:rsidRPr="00987840">
        <w:rPr>
          <w:rFonts w:cs="Times New Roman"/>
          <w:sz w:val="22"/>
        </w:rPr>
        <w:t xml:space="preserve">sk preferences: A global risk-attitude construct. </w:t>
      </w:r>
      <w:r w:rsidRPr="00987840">
        <w:rPr>
          <w:rFonts w:cs="Times New Roman"/>
          <w:i/>
          <w:iCs/>
          <w:sz w:val="22"/>
        </w:rPr>
        <w:t>American Journal of Agricultural Economics</w:t>
      </w:r>
      <w:r w:rsidRPr="00987840">
        <w:rPr>
          <w:rFonts w:cs="Times New Roman"/>
          <w:sz w:val="22"/>
        </w:rPr>
        <w:t xml:space="preserve">, </w:t>
      </w:r>
      <w:r w:rsidRPr="00987840">
        <w:rPr>
          <w:rFonts w:cs="Times New Roman"/>
          <w:i/>
          <w:iCs/>
          <w:sz w:val="22"/>
        </w:rPr>
        <w:t>83</w:t>
      </w:r>
      <w:r w:rsidRPr="00987840">
        <w:rPr>
          <w:rFonts w:cs="Times New Roman"/>
          <w:sz w:val="22"/>
        </w:rPr>
        <w:t>(4), 993–1009.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Podsakoff, P. M., MacKenzie, S. B., Lee, J.-Y., &amp; Podsakoff, N. P. (2003). Common method biases in behavioral research: A critical review of the literature and recommended remedies. </w:t>
      </w:r>
      <w:r w:rsidRPr="00987840">
        <w:rPr>
          <w:rFonts w:cs="Times New Roman"/>
          <w:i/>
          <w:iCs/>
          <w:sz w:val="22"/>
        </w:rPr>
        <w:t>The Journal of Applied Psychology</w:t>
      </w:r>
      <w:r w:rsidRPr="00987840">
        <w:rPr>
          <w:rFonts w:cs="Times New Roman"/>
          <w:sz w:val="22"/>
        </w:rPr>
        <w:t xml:space="preserve">, </w:t>
      </w:r>
      <w:r w:rsidRPr="00987840">
        <w:rPr>
          <w:rFonts w:cs="Times New Roman"/>
          <w:i/>
          <w:iCs/>
          <w:sz w:val="22"/>
        </w:rPr>
        <w:t>88</w:t>
      </w:r>
      <w:r w:rsidRPr="00987840">
        <w:rPr>
          <w:rFonts w:cs="Times New Roman"/>
          <w:sz w:val="22"/>
        </w:rPr>
        <w:t>(5), 879–903.</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Popadiuk, S., &amp; Choo, C. W. (2006). Innovation and knowledge creation: How are these concepts related? </w:t>
      </w:r>
      <w:r w:rsidRPr="00987840">
        <w:rPr>
          <w:rFonts w:cs="Times New Roman"/>
          <w:i/>
          <w:iCs/>
          <w:sz w:val="22"/>
        </w:rPr>
        <w:t>International Journal of Information Management</w:t>
      </w:r>
      <w:r w:rsidRPr="00987840">
        <w:rPr>
          <w:rFonts w:cs="Times New Roman"/>
          <w:sz w:val="22"/>
        </w:rPr>
        <w:t xml:space="preserve">, </w:t>
      </w:r>
      <w:r w:rsidRPr="00987840">
        <w:rPr>
          <w:rFonts w:cs="Times New Roman"/>
          <w:i/>
          <w:iCs/>
          <w:sz w:val="22"/>
        </w:rPr>
        <w:t>26</w:t>
      </w:r>
      <w:r w:rsidRPr="00987840">
        <w:rPr>
          <w:rFonts w:cs="Times New Roman"/>
          <w:sz w:val="22"/>
        </w:rPr>
        <w:t>(4), 302–312.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Roy, S., Sivakumar, K., &amp; Wilkinson, I. F. (2004). Innovation generation in supply chain relationships: A conceptual model and research propositions. </w:t>
      </w:r>
      <w:r w:rsidRPr="00987840">
        <w:rPr>
          <w:rFonts w:cs="Times New Roman"/>
          <w:i/>
          <w:iCs/>
          <w:sz w:val="22"/>
        </w:rPr>
        <w:t>Journal of the Academy of Marketing Science</w:t>
      </w:r>
      <w:r w:rsidRPr="00987840">
        <w:rPr>
          <w:rFonts w:cs="Times New Roman"/>
          <w:sz w:val="22"/>
        </w:rPr>
        <w:t xml:space="preserve">, </w:t>
      </w:r>
      <w:r w:rsidRPr="00987840">
        <w:rPr>
          <w:rFonts w:cs="Times New Roman"/>
          <w:i/>
          <w:iCs/>
          <w:sz w:val="22"/>
        </w:rPr>
        <w:t>32</w:t>
      </w:r>
      <w:r w:rsidRPr="00987840">
        <w:rPr>
          <w:rFonts w:cs="Times New Roman"/>
          <w:sz w:val="22"/>
        </w:rPr>
        <w:t>(1), 61–79.</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Ryall, M. D., &amp; Sampson, R. C. (2009). Formal contracts in the presence of relational enforcement mechanisms: Evidence from technology development projects.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55</w:t>
      </w:r>
      <w:r w:rsidRPr="00987840">
        <w:rPr>
          <w:rFonts w:cs="Times New Roman"/>
          <w:sz w:val="22"/>
        </w:rPr>
        <w:t>(6), 906–925.</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Saussier, S. (2000). Transaction costs and contractual incompleteness: The case of Electricite de France. </w:t>
      </w:r>
      <w:r w:rsidRPr="00987840">
        <w:rPr>
          <w:rFonts w:cs="Times New Roman"/>
          <w:i/>
          <w:iCs/>
          <w:sz w:val="22"/>
        </w:rPr>
        <w:t>Journal of Economic Behavior &amp; Organization</w:t>
      </w:r>
      <w:r w:rsidRPr="00987840">
        <w:rPr>
          <w:rFonts w:cs="Times New Roman"/>
          <w:sz w:val="22"/>
        </w:rPr>
        <w:t xml:space="preserve">, </w:t>
      </w:r>
      <w:r w:rsidRPr="00987840">
        <w:rPr>
          <w:rFonts w:cs="Times New Roman"/>
          <w:i/>
          <w:iCs/>
          <w:sz w:val="22"/>
        </w:rPr>
        <w:t>42</w:t>
      </w:r>
      <w:r w:rsidRPr="00987840">
        <w:rPr>
          <w:rFonts w:cs="Times New Roman"/>
          <w:sz w:val="22"/>
        </w:rPr>
        <w:t>(2), 189–206.</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Schepker, D. J., Oh, W.-Y., Martynov, A., &amp; Poppo, L. (2014). The many futures of contracts: Moving beyond structure and safeguarding to coordination and adaptation. </w:t>
      </w:r>
      <w:r w:rsidRPr="00987840">
        <w:rPr>
          <w:rFonts w:cs="Times New Roman"/>
          <w:i/>
          <w:iCs/>
          <w:sz w:val="22"/>
        </w:rPr>
        <w:t>Journal of Management</w:t>
      </w:r>
      <w:r w:rsidRPr="00987840">
        <w:rPr>
          <w:rFonts w:cs="Times New Roman"/>
          <w:sz w:val="22"/>
        </w:rPr>
        <w:t xml:space="preserve">, </w:t>
      </w:r>
      <w:r w:rsidRPr="00987840">
        <w:rPr>
          <w:rFonts w:cs="Times New Roman"/>
          <w:i/>
          <w:iCs/>
          <w:sz w:val="22"/>
        </w:rPr>
        <w:t>40</w:t>
      </w:r>
      <w:r w:rsidRPr="00987840">
        <w:rPr>
          <w:rFonts w:cs="Times New Roman"/>
          <w:sz w:val="22"/>
        </w:rPr>
        <w:t>(1), 193–225.</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Shepherd, D. A., &amp; DeTienne, D. R. (2005). Prior knowledge, potential financial reward, and opportunity identification. </w:t>
      </w:r>
      <w:r w:rsidRPr="00987840">
        <w:rPr>
          <w:rFonts w:cs="Times New Roman"/>
          <w:i/>
          <w:iCs/>
          <w:sz w:val="22"/>
        </w:rPr>
        <w:t>Entrepreneurship Theory and Practice</w:t>
      </w:r>
      <w:r w:rsidRPr="00987840">
        <w:rPr>
          <w:rFonts w:cs="Times New Roman"/>
          <w:sz w:val="22"/>
        </w:rPr>
        <w:t xml:space="preserve">, </w:t>
      </w:r>
      <w:r w:rsidRPr="00987840">
        <w:rPr>
          <w:rFonts w:cs="Times New Roman"/>
          <w:i/>
          <w:iCs/>
          <w:sz w:val="22"/>
        </w:rPr>
        <w:t>29</w:t>
      </w:r>
      <w:r w:rsidRPr="00987840">
        <w:rPr>
          <w:rFonts w:cs="Times New Roman"/>
          <w:sz w:val="22"/>
        </w:rPr>
        <w:t>(1), 91–112.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Shimizu, K. (Katsu). (2012). Risks of corporate entrepreneurship: Autonomy and agency issues. </w:t>
      </w:r>
      <w:r w:rsidRPr="00987840">
        <w:rPr>
          <w:rFonts w:cs="Times New Roman"/>
          <w:i/>
          <w:iCs/>
          <w:sz w:val="22"/>
        </w:rPr>
        <w:t>Organization Science</w:t>
      </w:r>
      <w:r w:rsidRPr="00987840">
        <w:rPr>
          <w:rFonts w:cs="Times New Roman"/>
          <w:sz w:val="22"/>
        </w:rPr>
        <w:t xml:space="preserve">, </w:t>
      </w:r>
      <w:r w:rsidRPr="00987840">
        <w:rPr>
          <w:rFonts w:cs="Times New Roman"/>
          <w:i/>
          <w:iCs/>
          <w:sz w:val="22"/>
        </w:rPr>
        <w:t>23</w:t>
      </w:r>
      <w:r w:rsidRPr="00987840">
        <w:rPr>
          <w:rFonts w:cs="Times New Roman"/>
          <w:sz w:val="22"/>
        </w:rPr>
        <w:t>(1), 194–206.</w:t>
      </w:r>
    </w:p>
    <w:p w:rsidR="00987840" w:rsidRPr="00987840" w:rsidRDefault="00987840" w:rsidP="00987840">
      <w:pPr>
        <w:pStyle w:val="Bibliography"/>
        <w:spacing w:line="240" w:lineRule="auto"/>
        <w:rPr>
          <w:rFonts w:cs="Times New Roman"/>
          <w:sz w:val="22"/>
        </w:rPr>
      </w:pPr>
      <w:r w:rsidRPr="00B62750">
        <w:rPr>
          <w:rFonts w:cs="Times New Roman"/>
          <w:sz w:val="22"/>
        </w:rPr>
        <w:t xml:space="preserve">Vandaele, D., Rangarajan, D., Gemmel, P., &amp; Lievens, A. (2007). </w:t>
      </w:r>
      <w:r w:rsidRPr="00987840">
        <w:rPr>
          <w:rFonts w:cs="Times New Roman"/>
          <w:sz w:val="22"/>
        </w:rPr>
        <w:t xml:space="preserve">How to govern business services exchanges: Contractual and relational issues. </w:t>
      </w:r>
      <w:r w:rsidRPr="00987840">
        <w:rPr>
          <w:rFonts w:cs="Times New Roman"/>
          <w:i/>
          <w:iCs/>
          <w:sz w:val="22"/>
        </w:rPr>
        <w:t>International Journal of Management Reviews</w:t>
      </w:r>
      <w:r w:rsidRPr="00987840">
        <w:rPr>
          <w:rFonts w:cs="Times New Roman"/>
          <w:sz w:val="22"/>
        </w:rPr>
        <w:t xml:space="preserve">, </w:t>
      </w:r>
      <w:r w:rsidRPr="00987840">
        <w:rPr>
          <w:rFonts w:cs="Times New Roman"/>
          <w:i/>
          <w:iCs/>
          <w:sz w:val="22"/>
        </w:rPr>
        <w:t>9</w:t>
      </w:r>
      <w:r w:rsidRPr="00987840">
        <w:rPr>
          <w:rFonts w:cs="Times New Roman"/>
          <w:sz w:val="22"/>
        </w:rPr>
        <w:t>(3), 237–258.</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Venkatraman, N. (1989). Strategic orientation of business enterprises: The construct, dimensionality, and measurement. </w:t>
      </w:r>
      <w:r w:rsidRPr="00987840">
        <w:rPr>
          <w:rFonts w:cs="Times New Roman"/>
          <w:i/>
          <w:iCs/>
          <w:sz w:val="22"/>
        </w:rPr>
        <w:t>Management Science</w:t>
      </w:r>
      <w:r w:rsidRPr="00987840">
        <w:rPr>
          <w:rFonts w:cs="Times New Roman"/>
          <w:sz w:val="22"/>
        </w:rPr>
        <w:t xml:space="preserve">, </w:t>
      </w:r>
      <w:r w:rsidRPr="00987840">
        <w:rPr>
          <w:rFonts w:cs="Times New Roman"/>
          <w:i/>
          <w:iCs/>
          <w:sz w:val="22"/>
        </w:rPr>
        <w:t>35</w:t>
      </w:r>
      <w:r w:rsidRPr="00987840">
        <w:rPr>
          <w:rFonts w:cs="Times New Roman"/>
          <w:sz w:val="22"/>
        </w:rPr>
        <w:t>(8), 942–962.</w:t>
      </w:r>
    </w:p>
    <w:p w:rsidR="00987840" w:rsidRPr="00987840" w:rsidRDefault="00987840" w:rsidP="00987840">
      <w:pPr>
        <w:pStyle w:val="Bibliography"/>
        <w:spacing w:line="240" w:lineRule="auto"/>
        <w:rPr>
          <w:rFonts w:cs="Times New Roman"/>
          <w:sz w:val="22"/>
        </w:rPr>
      </w:pPr>
      <w:r w:rsidRPr="00987840">
        <w:rPr>
          <w:rFonts w:cs="Times New Roman"/>
          <w:sz w:val="22"/>
        </w:rPr>
        <w:t xml:space="preserve">Wang, L., Yeung, J. H. Y., &amp; Zhang, M. (2011). The impact of trust and contract on innovation performance: The moderating role of environmental uncertainty. </w:t>
      </w:r>
      <w:r w:rsidRPr="00987840">
        <w:rPr>
          <w:rFonts w:cs="Times New Roman"/>
          <w:i/>
          <w:iCs/>
          <w:sz w:val="22"/>
        </w:rPr>
        <w:t>International Journal of Production Economics</w:t>
      </w:r>
      <w:r w:rsidRPr="00987840">
        <w:rPr>
          <w:rFonts w:cs="Times New Roman"/>
          <w:sz w:val="22"/>
        </w:rPr>
        <w:t xml:space="preserve">, </w:t>
      </w:r>
      <w:r w:rsidRPr="00987840">
        <w:rPr>
          <w:rFonts w:cs="Times New Roman"/>
          <w:i/>
          <w:iCs/>
          <w:sz w:val="22"/>
        </w:rPr>
        <w:t>134</w:t>
      </w:r>
      <w:r w:rsidRPr="00987840">
        <w:rPr>
          <w:rFonts w:cs="Times New Roman"/>
          <w:sz w:val="22"/>
        </w:rPr>
        <w:t>(1), 114–122.</w:t>
      </w:r>
    </w:p>
    <w:p w:rsidR="00E4720E" w:rsidRPr="00FF0385" w:rsidRDefault="00E4720E" w:rsidP="00987840">
      <w:pPr>
        <w:ind w:firstLine="0"/>
        <w:jc w:val="left"/>
        <w:rPr>
          <w:rFonts w:cs="Times New Roman"/>
          <w:sz w:val="22"/>
        </w:rPr>
      </w:pPr>
      <w:r w:rsidRPr="00987840">
        <w:rPr>
          <w:rFonts w:cs="Times New Roman"/>
          <w:sz w:val="22"/>
        </w:rPr>
        <w:fldChar w:fldCharType="end"/>
      </w:r>
    </w:p>
    <w:p w:rsidR="00E4720E" w:rsidRPr="00FF0385" w:rsidRDefault="00E4720E" w:rsidP="00E4720E">
      <w:pPr>
        <w:ind w:firstLine="0"/>
        <w:jc w:val="left"/>
        <w:rPr>
          <w:rFonts w:cs="Times New Roman"/>
          <w:sz w:val="22"/>
        </w:rPr>
      </w:pPr>
    </w:p>
    <w:p w:rsidR="00EF0DD4" w:rsidRDefault="00EF0DD4" w:rsidP="00FE75E0">
      <w:pPr>
        <w:spacing w:after="200" w:line="276" w:lineRule="auto"/>
        <w:ind w:firstLine="0"/>
        <w:jc w:val="left"/>
        <w:rPr>
          <w:rFonts w:eastAsia="SimSun" w:cs="Times New Roman"/>
          <w:b/>
          <w:szCs w:val="24"/>
        </w:rPr>
      </w:pPr>
    </w:p>
    <w:p w:rsidR="00FE75E0" w:rsidRPr="00FE75E0" w:rsidRDefault="00FE75E0" w:rsidP="00FE75E0">
      <w:pPr>
        <w:spacing w:after="200" w:line="276" w:lineRule="auto"/>
        <w:ind w:firstLine="0"/>
        <w:jc w:val="left"/>
        <w:rPr>
          <w:rFonts w:eastAsia="SimSun" w:cs="Times New Roman"/>
          <w:b/>
          <w:szCs w:val="24"/>
        </w:rPr>
      </w:pPr>
      <w:r w:rsidRPr="00FE75E0">
        <w:rPr>
          <w:rFonts w:eastAsia="SimSun" w:cs="Times New Roman"/>
          <w:b/>
          <w:szCs w:val="24"/>
        </w:rPr>
        <w:lastRenderedPageBreak/>
        <w:t xml:space="preserve">APPENDIX </w:t>
      </w:r>
    </w:p>
    <w:tbl>
      <w:tblPr>
        <w:tblW w:w="5479" w:type="pct"/>
        <w:tblInd w:w="-885" w:type="dxa"/>
        <w:tblLayout w:type="fixed"/>
        <w:tblCellMar>
          <w:left w:w="0" w:type="dxa"/>
          <w:right w:w="0" w:type="dxa"/>
        </w:tblCellMar>
        <w:tblLook w:val="04A0" w:firstRow="1" w:lastRow="0" w:firstColumn="1" w:lastColumn="0" w:noHBand="0" w:noVBand="1"/>
      </w:tblPr>
      <w:tblGrid>
        <w:gridCol w:w="8169"/>
        <w:gridCol w:w="831"/>
        <w:gridCol w:w="892"/>
      </w:tblGrid>
      <w:tr w:rsidR="00FE75E0" w:rsidRPr="00FE75E0" w:rsidTr="00FE75E0">
        <w:trPr>
          <w:trHeight w:val="300"/>
        </w:trPr>
        <w:tc>
          <w:tcPr>
            <w:tcW w:w="4129" w:type="pct"/>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b/>
                <w:color w:val="000000"/>
                <w:sz w:val="22"/>
              </w:rPr>
            </w:pPr>
            <w:r w:rsidRPr="00FE75E0">
              <w:rPr>
                <w:rFonts w:eastAsia="Times New Roman" w:cs="Times New Roman"/>
                <w:b/>
                <w:color w:val="000000"/>
                <w:sz w:val="22"/>
              </w:rPr>
              <w:t>Appendix A: Scale items, Standardized Loadings (SL), and T-values (t)</w:t>
            </w:r>
          </w:p>
        </w:tc>
        <w:tc>
          <w:tcPr>
            <w:tcW w:w="420" w:type="pct"/>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451" w:type="pct"/>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r>
      <w:tr w:rsidR="00FE75E0" w:rsidRPr="00FE75E0" w:rsidTr="00FE75E0">
        <w:trPr>
          <w:trHeight w:val="300"/>
        </w:trPr>
        <w:tc>
          <w:tcPr>
            <w:tcW w:w="4129" w:type="pct"/>
            <w:tcBorders>
              <w:top w:val="single" w:sz="4" w:space="0" w:color="auto"/>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Incremental Innovation </w:t>
            </w:r>
            <w:r w:rsidRPr="00FE75E0">
              <w:rPr>
                <w:rFonts w:eastAsia="Times New Roman" w:cs="Times New Roman"/>
                <w:color w:val="000000"/>
                <w:sz w:val="22"/>
              </w:rPr>
              <w:t>(Likert-scale= 1 to 5)</w:t>
            </w:r>
          </w:p>
        </w:tc>
        <w:tc>
          <w:tcPr>
            <w:tcW w:w="420" w:type="pct"/>
            <w:tcBorders>
              <w:top w:val="single" w:sz="4" w:space="0" w:color="auto"/>
              <w:left w:val="nil"/>
              <w:bottom w:val="nil"/>
              <w:right w:val="single" w:sz="4" w:space="0" w:color="auto"/>
            </w:tcBorders>
            <w:shd w:val="clear" w:color="auto" w:fill="auto"/>
            <w:noWrap/>
            <w:vAlign w:val="bottom"/>
          </w:tcPr>
          <w:p w:rsidR="00FE75E0" w:rsidRPr="00FE75E0" w:rsidRDefault="00FE75E0" w:rsidP="00FE75E0">
            <w:pPr>
              <w:ind w:firstLine="0"/>
              <w:jc w:val="center"/>
              <w:rPr>
                <w:rFonts w:eastAsia="Times New Roman" w:cs="Times New Roman"/>
                <w:b/>
                <w:bCs/>
                <w:color w:val="000000"/>
                <w:sz w:val="22"/>
              </w:rPr>
            </w:pPr>
            <w:r w:rsidRPr="00FE75E0">
              <w:rPr>
                <w:rFonts w:eastAsia="Times New Roman" w:cs="Times New Roman"/>
                <w:b/>
                <w:bCs/>
                <w:color w:val="000000"/>
                <w:sz w:val="22"/>
              </w:rPr>
              <w:t>SL</w:t>
            </w:r>
          </w:p>
        </w:tc>
        <w:tc>
          <w:tcPr>
            <w:tcW w:w="451" w:type="pct"/>
            <w:tcBorders>
              <w:top w:val="single" w:sz="4" w:space="0" w:color="auto"/>
              <w:left w:val="nil"/>
              <w:bottom w:val="nil"/>
              <w:right w:val="single" w:sz="4" w:space="0" w:color="auto"/>
            </w:tcBorders>
            <w:shd w:val="clear" w:color="auto" w:fill="auto"/>
            <w:noWrap/>
            <w:vAlign w:val="bottom"/>
          </w:tcPr>
          <w:p w:rsidR="00FE75E0" w:rsidRPr="00FE75E0" w:rsidRDefault="00FE75E0" w:rsidP="00FE75E0">
            <w:pPr>
              <w:ind w:firstLine="0"/>
              <w:jc w:val="center"/>
              <w:rPr>
                <w:rFonts w:eastAsia="Times New Roman" w:cs="Times New Roman"/>
                <w:b/>
                <w:bCs/>
                <w:color w:val="000000"/>
                <w:sz w:val="22"/>
              </w:rPr>
            </w:pPr>
            <w:r w:rsidRPr="00FE75E0">
              <w:rPr>
                <w:rFonts w:eastAsia="Times New Roman" w:cs="Times New Roman"/>
                <w:b/>
                <w:bCs/>
                <w:color w:val="000000"/>
                <w:sz w:val="22"/>
              </w:rPr>
              <w:t>t</w:t>
            </w: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To what extent do you agree on the statements below regarding the activities that have been carried out by the partner within this maintenance contract</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The partner continuously improves the maintenance processes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0.809</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42.391</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2. The partner often refines the delivery of existing products and services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0.863</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56.624</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3. The partner regularly implements small adjustments to existing products and services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0.867</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50.975</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4. The partner improves the efficiency of the products and services that are delivered</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0.918</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91.812</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5. The partner contributes to a higher degree of usage and effectiveness of the asset</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0.790</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28.373</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6. The partner improves scope management</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0.859</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43.057</w:t>
            </w:r>
          </w:p>
        </w:tc>
      </w:tr>
      <w:tr w:rsidR="00FE75E0" w:rsidRPr="00FE75E0" w:rsidTr="00FE75E0">
        <w:trPr>
          <w:trHeight w:val="300"/>
        </w:trPr>
        <w:tc>
          <w:tcPr>
            <w:tcW w:w="4129" w:type="pct"/>
            <w:tcBorders>
              <w:top w:val="nil"/>
              <w:left w:val="single" w:sz="4" w:space="0" w:color="auto"/>
              <w:bottom w:val="single" w:sz="4" w:space="0" w:color="auto"/>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7. The partner achieves a higher productivity from the mechanics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0.752</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22.881</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Radical Innovation </w:t>
            </w:r>
            <w:r w:rsidRPr="00FE75E0">
              <w:rPr>
                <w:rFonts w:eastAsia="Times New Roman" w:cs="Times New Roman"/>
                <w:color w:val="000000"/>
                <w:sz w:val="22"/>
              </w:rPr>
              <w:t>(Likert-scale= 1 to 5)</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585"/>
        </w:trPr>
        <w:tc>
          <w:tcPr>
            <w:tcW w:w="4129" w:type="pct"/>
            <w:tcBorders>
              <w:top w:val="nil"/>
              <w:left w:val="single" w:sz="4" w:space="0" w:color="auto"/>
              <w:bottom w:val="nil"/>
              <w:right w:val="single" w:sz="4" w:space="0" w:color="auto"/>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To what extent do you agree on the statements below regarding the activities that have been carried out by the partner within this maintenance contract</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smartTag w:uri="urn:schemas-microsoft-com:office:smarttags" w:element="metricconverter">
              <w:smartTagPr>
                <w:attr w:name="ProductID" w:val="1. A"/>
              </w:smartTagPr>
              <w:r w:rsidRPr="00FE75E0">
                <w:rPr>
                  <w:rFonts w:eastAsia="Times New Roman" w:cs="Times New Roman"/>
                  <w:color w:val="000000"/>
                  <w:sz w:val="22"/>
                </w:rPr>
                <w:t>1. A</w:t>
              </w:r>
            </w:smartTag>
            <w:r w:rsidRPr="00FE75E0">
              <w:rPr>
                <w:rFonts w:eastAsia="Times New Roman" w:cs="Times New Roman"/>
                <w:color w:val="000000"/>
                <w:sz w:val="22"/>
              </w:rPr>
              <w:t xml:space="preserve"> creation of a new service within a particular market</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0.839</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47.469</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smartTag w:uri="urn:schemas-microsoft-com:office:smarttags" w:element="metricconverter">
              <w:smartTagPr>
                <w:attr w:name="ProductID" w:val="2. A"/>
              </w:smartTagPr>
              <w:r w:rsidRPr="00FE75E0">
                <w:rPr>
                  <w:rFonts w:eastAsia="Times New Roman" w:cs="Times New Roman"/>
                  <w:color w:val="000000"/>
                  <w:sz w:val="22"/>
                </w:rPr>
                <w:t>2. A</w:t>
              </w:r>
            </w:smartTag>
            <w:r w:rsidRPr="00FE75E0">
              <w:rPr>
                <w:rFonts w:eastAsia="Times New Roman" w:cs="Times New Roman"/>
                <w:color w:val="000000"/>
                <w:sz w:val="22"/>
              </w:rPr>
              <w:t xml:space="preserve"> new way of interacting with the client who receives the service</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0.863</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50.593</w:t>
            </w: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smartTag w:uri="urn:schemas-microsoft-com:office:smarttags" w:element="metricconverter">
              <w:smartTagPr>
                <w:attr w:name="ProductID" w:val="3. A"/>
              </w:smartTagPr>
              <w:r w:rsidRPr="00FE75E0">
                <w:rPr>
                  <w:rFonts w:eastAsia="Times New Roman" w:cs="Times New Roman"/>
                  <w:color w:val="000000"/>
                  <w:sz w:val="22"/>
                </w:rPr>
                <w:t>3. A</w:t>
              </w:r>
            </w:smartTag>
            <w:r w:rsidRPr="00FE75E0">
              <w:rPr>
                <w:rFonts w:eastAsia="Times New Roman" w:cs="Times New Roman"/>
                <w:color w:val="000000"/>
                <w:sz w:val="22"/>
              </w:rPr>
              <w:t xml:space="preserve"> changed internal organizational arrangements with the supplier to allow their employees to perform their job properly </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0.814</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27.145</w:t>
            </w:r>
          </w:p>
        </w:tc>
      </w:tr>
      <w:tr w:rsidR="00FE75E0" w:rsidRPr="00FE75E0" w:rsidTr="00FE75E0">
        <w:trPr>
          <w:trHeight w:val="300"/>
        </w:trPr>
        <w:tc>
          <w:tcPr>
            <w:tcW w:w="4129" w:type="pct"/>
            <w:tcBorders>
              <w:top w:val="nil"/>
              <w:left w:val="single" w:sz="4" w:space="0" w:color="auto"/>
              <w:bottom w:val="single" w:sz="4" w:space="0" w:color="auto"/>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smartTag w:uri="urn:schemas-microsoft-com:office:smarttags" w:element="metricconverter">
              <w:smartTagPr>
                <w:attr w:name="ProductID" w:val="4. A"/>
              </w:smartTagPr>
              <w:r w:rsidRPr="00FE75E0">
                <w:rPr>
                  <w:rFonts w:eastAsia="Times New Roman" w:cs="Times New Roman"/>
                  <w:color w:val="000000"/>
                  <w:sz w:val="22"/>
                </w:rPr>
                <w:t>4. A</w:t>
              </w:r>
            </w:smartTag>
            <w:r w:rsidRPr="00FE75E0">
              <w:rPr>
                <w:rFonts w:eastAsia="Times New Roman" w:cs="Times New Roman"/>
                <w:color w:val="000000"/>
                <w:sz w:val="22"/>
              </w:rPr>
              <w:t xml:space="preserve"> change in the tangible aspects of the transaction (e.g., a new/changed technology)</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0.801</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23.774</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Term Specificity </w:t>
            </w:r>
            <w:r w:rsidRPr="00FE75E0">
              <w:rPr>
                <w:rFonts w:eastAsia="Times New Roman" w:cs="Times New Roman"/>
                <w:color w:val="000000"/>
                <w:sz w:val="22"/>
              </w:rPr>
              <w:t>(Likert-scale= 1 to 7)</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xml:space="preserve">To what extent are the following specifications outlined in this maintenance contract </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295"/>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Which specific persons should be assigned the management and monitoring tasks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0.736</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22.457</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2. Which specific technologies should be contributed by the partner</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0.724</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15.821</w:t>
            </w:r>
          </w:p>
        </w:tc>
      </w:tr>
      <w:tr w:rsidR="00FE75E0" w:rsidRPr="00FE75E0" w:rsidTr="00FE75E0">
        <w:trPr>
          <w:trHeight w:val="300"/>
        </w:trPr>
        <w:tc>
          <w:tcPr>
            <w:tcW w:w="4129" w:type="pct"/>
            <w:tcBorders>
              <w:top w:val="nil"/>
              <w:left w:val="single" w:sz="4" w:space="0" w:color="auto"/>
              <w:bottom w:val="single" w:sz="4" w:space="0" w:color="auto"/>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3. How the partner should develop certain resources/technologies </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0.876</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65.014</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Pay-for-performance </w:t>
            </w:r>
            <w:r w:rsidRPr="00FE75E0">
              <w:rPr>
                <w:rFonts w:eastAsia="Times New Roman" w:cs="Times New Roman"/>
                <w:color w:val="000000"/>
                <w:sz w:val="22"/>
              </w:rPr>
              <w:t>(Likert-scale= 1 to 7)</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vAlign w:val="bottom"/>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xml:space="preserve">To what extent do you agree on the following statements regarding the reward schemes applied in this contract </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The partner's rewards are linked to the outcomes of the service they deliver</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0.648</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13.274</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2. The partner has sufficient financial incentives to improve/develop the service</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0.757</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24.696</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3. The partner is compensated for delivering a better service quality</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0.792</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23.674</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4. The partner's rewards are linked to the degree by which they improve their performance</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0.835</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25.717</w:t>
            </w:r>
          </w:p>
        </w:tc>
      </w:tr>
      <w:tr w:rsidR="00FE75E0" w:rsidRPr="00FE75E0" w:rsidTr="00FE75E0">
        <w:trPr>
          <w:trHeight w:val="408"/>
        </w:trPr>
        <w:tc>
          <w:tcPr>
            <w:tcW w:w="4129" w:type="pct"/>
            <w:tcBorders>
              <w:top w:val="nil"/>
              <w:left w:val="single" w:sz="4" w:space="0" w:color="auto"/>
              <w:bottom w:val="nil"/>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5. We have agreed upon performance bonuses on top of the regular payment schemes when performance levels exceed targets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0.775</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26.514</w:t>
            </w:r>
          </w:p>
        </w:tc>
      </w:tr>
      <w:tr w:rsidR="00FE75E0" w:rsidRPr="00FE75E0" w:rsidTr="00FE75E0">
        <w:trPr>
          <w:trHeight w:val="300"/>
        </w:trPr>
        <w:tc>
          <w:tcPr>
            <w:tcW w:w="4129" w:type="pct"/>
            <w:tcBorders>
              <w:top w:val="nil"/>
              <w:left w:val="single" w:sz="4" w:space="0" w:color="auto"/>
              <w:bottom w:val="single" w:sz="4" w:space="0" w:color="auto"/>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6. The partner is financially rewarded for developing alternative/new ways of achieving the performance targets</w:t>
            </w:r>
          </w:p>
        </w:tc>
        <w:tc>
          <w:tcPr>
            <w:tcW w:w="420" w:type="pct"/>
            <w:tcBorders>
              <w:top w:val="nil"/>
              <w:left w:val="nil"/>
              <w:bottom w:val="nil"/>
              <w:right w:val="single" w:sz="4" w:space="0" w:color="auto"/>
            </w:tcBorders>
            <w:shd w:val="clear" w:color="auto" w:fill="auto"/>
            <w:noWrap/>
            <w:vAlign w:val="bottom"/>
          </w:tcPr>
          <w:p w:rsidR="00FE75E0" w:rsidRPr="00FE75E0" w:rsidRDefault="00FE75E0" w:rsidP="00FE75E0">
            <w:pPr>
              <w:ind w:firstLine="0"/>
              <w:jc w:val="right"/>
              <w:rPr>
                <w:rFonts w:eastAsia="Times New Roman" w:cs="Times New Roman"/>
                <w:color w:val="000000"/>
                <w:sz w:val="22"/>
              </w:rPr>
            </w:pPr>
            <w:r w:rsidRPr="00FE75E0">
              <w:rPr>
                <w:rFonts w:eastAsia="Times New Roman" w:cs="Times New Roman"/>
                <w:color w:val="000000"/>
                <w:sz w:val="22"/>
              </w:rPr>
              <w:t>0.815</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32.092</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Trust </w:t>
            </w:r>
            <w:r w:rsidRPr="00FE75E0">
              <w:rPr>
                <w:rFonts w:eastAsia="Times New Roman" w:cs="Times New Roman"/>
                <w:color w:val="000000"/>
                <w:sz w:val="22"/>
              </w:rPr>
              <w:t>(AVE = 0,557; CR = 0,918; α = 0,901; Likert-scale= 1 to 5)</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vAlign w:val="bottom"/>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To what extent do you agree on the following statements regarding the degree of trust between your company and the partner's</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Our relationship with this partner is characterized by high levels of trust</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0.752</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18.022</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2. Both parties generally trust that each will abide by and work  within the terms of the contract</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0.764</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23.359</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3. Both parties are generally skeptical of the information provided by each other [R]</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0.648</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12.371</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4. Both parties trust each other to have the required resources (such as capital and labor)</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0.781</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29.783</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5. Both parties recognize and acknowledge each other’s reputation and capabilities</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0.698</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15.731</w:t>
            </w: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lastRenderedPageBreak/>
              <w:t>6. Both parties do whatever is necessary to ensure the success of the collaboration even if it involves performing tasks which they had not previously agreed on</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0.769</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26.230</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7. Neither party withholds any information that is needed  to perform well</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0.721</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19.061</w:t>
            </w:r>
          </w:p>
        </w:tc>
      </w:tr>
      <w:tr w:rsidR="00FE75E0" w:rsidRPr="00FE75E0" w:rsidTr="00FE75E0">
        <w:trPr>
          <w:trHeight w:val="300"/>
        </w:trPr>
        <w:tc>
          <w:tcPr>
            <w:tcW w:w="4129" w:type="pct"/>
            <w:tcBorders>
              <w:top w:val="nil"/>
              <w:left w:val="single" w:sz="4" w:space="0" w:color="auto"/>
              <w:bottom w:val="nil"/>
              <w:right w:val="single" w:sz="4" w:space="0" w:color="auto"/>
            </w:tcBorders>
            <w:shd w:val="clear" w:color="auto" w:fill="auto"/>
            <w:noWrap/>
            <w:vAlign w:val="center"/>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8. Neither party exploit to their advantage any (temporary) shortcomings  of the other parties' company</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0.725</w:t>
            </w: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16.896</w:t>
            </w:r>
          </w:p>
        </w:tc>
      </w:tr>
      <w:tr w:rsidR="00FE75E0" w:rsidRPr="00FE75E0" w:rsidTr="00FE75E0">
        <w:trPr>
          <w:trHeight w:val="469"/>
        </w:trPr>
        <w:tc>
          <w:tcPr>
            <w:tcW w:w="4129" w:type="pct"/>
            <w:tcBorders>
              <w:top w:val="nil"/>
              <w:left w:val="single" w:sz="4" w:space="0" w:color="auto"/>
              <w:bottom w:val="single" w:sz="4" w:space="0" w:color="auto"/>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9. Both parties work hard to help each other solve problems that may influence the success of the collaboration</w:t>
            </w:r>
          </w:p>
        </w:tc>
        <w:tc>
          <w:tcPr>
            <w:tcW w:w="420" w:type="pct"/>
            <w:vMerge w:val="restart"/>
            <w:tcBorders>
              <w:top w:val="nil"/>
              <w:left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0.842</w:t>
            </w:r>
          </w:p>
        </w:tc>
        <w:tc>
          <w:tcPr>
            <w:tcW w:w="451" w:type="pct"/>
            <w:vMerge w:val="restart"/>
            <w:tcBorders>
              <w:top w:val="nil"/>
              <w:left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39.727</w:t>
            </w:r>
          </w:p>
        </w:tc>
      </w:tr>
      <w:tr w:rsidR="00FE75E0" w:rsidRPr="00FE75E0" w:rsidTr="00FE75E0">
        <w:trPr>
          <w:trHeight w:val="117"/>
        </w:trPr>
        <w:tc>
          <w:tcPr>
            <w:tcW w:w="4129" w:type="pct"/>
            <w:tcBorders>
              <w:top w:val="single" w:sz="4" w:space="0" w:color="auto"/>
              <w:left w:val="single" w:sz="4" w:space="0" w:color="auto"/>
              <w:bottom w:val="nil"/>
              <w:right w:val="single" w:sz="4" w:space="0" w:color="auto"/>
            </w:tcBorders>
            <w:shd w:val="clear" w:color="auto" w:fill="auto"/>
          </w:tcPr>
          <w:p w:rsidR="00FE75E0" w:rsidRPr="00FE75E0" w:rsidRDefault="00FE75E0" w:rsidP="00FE75E0">
            <w:pPr>
              <w:spacing w:before="60"/>
              <w:ind w:firstLine="0"/>
              <w:jc w:val="left"/>
              <w:rPr>
                <w:rFonts w:eastAsia="Times New Roman" w:cs="Times New Roman"/>
                <w:color w:val="000000"/>
                <w:sz w:val="22"/>
              </w:rPr>
            </w:pPr>
            <w:r w:rsidRPr="00FE75E0">
              <w:rPr>
                <w:rFonts w:eastAsia="Times New Roman" w:cs="Times New Roman"/>
                <w:b/>
                <w:bCs/>
                <w:color w:val="000000"/>
                <w:sz w:val="22"/>
              </w:rPr>
              <w:t xml:space="preserve">Risk-aversion of the Partner </w:t>
            </w:r>
          </w:p>
        </w:tc>
        <w:tc>
          <w:tcPr>
            <w:tcW w:w="420" w:type="pct"/>
            <w:vMerge/>
            <w:tcBorders>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c>
          <w:tcPr>
            <w:tcW w:w="451" w:type="pct"/>
            <w:vMerge/>
            <w:tcBorders>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r>
      <w:tr w:rsidR="00FE75E0" w:rsidRPr="00FE75E0" w:rsidTr="00FE75E0">
        <w:trPr>
          <w:trHeight w:val="600"/>
        </w:trPr>
        <w:tc>
          <w:tcPr>
            <w:tcW w:w="4129" w:type="pct"/>
            <w:tcBorders>
              <w:top w:val="nil"/>
              <w:left w:val="single" w:sz="4" w:space="0" w:color="auto"/>
              <w:bottom w:val="nil"/>
              <w:right w:val="single" w:sz="4" w:space="0" w:color="auto"/>
            </w:tcBorders>
            <w:shd w:val="clear" w:color="auto" w:fill="auto"/>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i/>
                <w:iCs/>
                <w:color w:val="000000"/>
                <w:sz w:val="22"/>
              </w:rPr>
              <w:t>To what extent do you agree on the following statements regarding the partner’s predisposition towards risks</w:t>
            </w:r>
          </w:p>
        </w:tc>
        <w:tc>
          <w:tcPr>
            <w:tcW w:w="420"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c>
          <w:tcPr>
            <w:tcW w:w="451" w:type="pct"/>
            <w:tcBorders>
              <w:top w:val="nil"/>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r>
      <w:tr w:rsidR="00FE75E0" w:rsidRPr="00FE75E0" w:rsidTr="00FE75E0">
        <w:trPr>
          <w:trHeight w:val="301"/>
        </w:trPr>
        <w:tc>
          <w:tcPr>
            <w:tcW w:w="4129" w:type="pct"/>
            <w:tcBorders>
              <w:top w:val="nil"/>
              <w:left w:val="single" w:sz="4" w:space="0" w:color="auto"/>
              <w:bottom w:val="single" w:sz="4" w:space="0" w:color="auto"/>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The partner preferably follows the ‘tried and true’ paths</w:t>
            </w:r>
          </w:p>
        </w:tc>
        <w:tc>
          <w:tcPr>
            <w:tcW w:w="420" w:type="pct"/>
            <w:vMerge w:val="restart"/>
            <w:tcBorders>
              <w:top w:val="nil"/>
              <w:left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c>
          <w:tcPr>
            <w:tcW w:w="451" w:type="pct"/>
            <w:vMerge w:val="restart"/>
            <w:tcBorders>
              <w:top w:val="nil"/>
              <w:left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r>
      <w:tr w:rsidR="00FE75E0" w:rsidRPr="00FE75E0" w:rsidTr="00FE75E0">
        <w:trPr>
          <w:trHeight w:val="285"/>
        </w:trPr>
        <w:tc>
          <w:tcPr>
            <w:tcW w:w="4129" w:type="pct"/>
            <w:tcBorders>
              <w:top w:val="single" w:sz="4" w:space="0" w:color="auto"/>
              <w:left w:val="single" w:sz="4" w:space="0" w:color="auto"/>
              <w:bottom w:val="nil"/>
              <w:right w:val="single" w:sz="4" w:space="0" w:color="auto"/>
            </w:tcBorders>
            <w:shd w:val="clear" w:color="auto" w:fill="auto"/>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b/>
                <w:bCs/>
                <w:color w:val="000000"/>
                <w:sz w:val="22"/>
              </w:rPr>
              <w:t xml:space="preserve">Transactional Complexity </w:t>
            </w:r>
          </w:p>
        </w:tc>
        <w:tc>
          <w:tcPr>
            <w:tcW w:w="420" w:type="pct"/>
            <w:vMerge/>
            <w:tcBorders>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c>
          <w:tcPr>
            <w:tcW w:w="451" w:type="pct"/>
            <w:vMerge/>
            <w:tcBorders>
              <w:left w:val="nil"/>
              <w:bottom w:val="nil"/>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r>
      <w:tr w:rsidR="00FE75E0" w:rsidRPr="00FE75E0" w:rsidTr="00FE75E0">
        <w:trPr>
          <w:trHeight w:val="600"/>
        </w:trPr>
        <w:tc>
          <w:tcPr>
            <w:tcW w:w="4129" w:type="pct"/>
            <w:tcBorders>
              <w:top w:val="nil"/>
              <w:left w:val="single" w:sz="4" w:space="0" w:color="auto"/>
              <w:bottom w:val="single" w:sz="4" w:space="0" w:color="auto"/>
              <w:right w:val="single" w:sz="4" w:space="0" w:color="auto"/>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 How would you evaluate the complexity of the products and services delivered by the partner within this maintenance contract (from very low to very high)</w:t>
            </w:r>
          </w:p>
        </w:tc>
        <w:tc>
          <w:tcPr>
            <w:tcW w:w="420" w:type="pct"/>
            <w:tcBorders>
              <w:top w:val="nil"/>
              <w:left w:val="nil"/>
              <w:bottom w:val="single" w:sz="4" w:space="0" w:color="auto"/>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c>
          <w:tcPr>
            <w:tcW w:w="451" w:type="pct"/>
            <w:tcBorders>
              <w:top w:val="nil"/>
              <w:left w:val="nil"/>
              <w:bottom w:val="single" w:sz="4" w:space="0" w:color="auto"/>
              <w:right w:val="single" w:sz="4" w:space="0" w:color="auto"/>
            </w:tcBorders>
            <w:shd w:val="clear" w:color="auto" w:fill="auto"/>
            <w:noWrap/>
          </w:tcPr>
          <w:p w:rsidR="00FE75E0" w:rsidRPr="00FE75E0" w:rsidRDefault="00FE75E0" w:rsidP="00FE75E0">
            <w:pPr>
              <w:ind w:firstLine="0"/>
              <w:jc w:val="center"/>
              <w:rPr>
                <w:rFonts w:eastAsia="Times New Roman" w:cs="Times New Roman"/>
                <w:color w:val="000000"/>
                <w:sz w:val="22"/>
              </w:rPr>
            </w:pPr>
          </w:p>
        </w:tc>
      </w:tr>
    </w:tbl>
    <w:p w:rsidR="003B6FFD" w:rsidRPr="00050424" w:rsidRDefault="003B6FFD" w:rsidP="003B6FFD">
      <w:pPr>
        <w:rPr>
          <w:rFonts w:cs="Times New Roman"/>
        </w:rPr>
      </w:pPr>
    </w:p>
    <w:p w:rsidR="003B6FFD" w:rsidRPr="008559C3" w:rsidRDefault="003B6FFD" w:rsidP="003B6FFD">
      <w:pPr>
        <w:rPr>
          <w:b/>
        </w:rPr>
        <w:sectPr w:rsidR="003B6FFD" w:rsidRPr="008559C3" w:rsidSect="003B6FFD">
          <w:footerReference w:type="default" r:id="rId9"/>
          <w:pgSz w:w="11907" w:h="16839" w:code="9"/>
          <w:pgMar w:top="1440" w:right="1440" w:bottom="1440" w:left="1440" w:header="709" w:footer="709" w:gutter="0"/>
          <w:cols w:space="708"/>
          <w:docGrid w:linePitch="360"/>
        </w:sectPr>
      </w:pPr>
    </w:p>
    <w:tbl>
      <w:tblPr>
        <w:tblpPr w:leftFromText="180" w:rightFromText="180" w:vertAnchor="text" w:horzAnchor="margin" w:tblpXSpec="center" w:tblpY="-282"/>
        <w:tblW w:w="14675" w:type="dxa"/>
        <w:tblCellMar>
          <w:left w:w="0" w:type="dxa"/>
          <w:right w:w="0" w:type="dxa"/>
        </w:tblCellMar>
        <w:tblLook w:val="04A0" w:firstRow="1" w:lastRow="0" w:firstColumn="1" w:lastColumn="0" w:noHBand="0" w:noVBand="1"/>
      </w:tblPr>
      <w:tblGrid>
        <w:gridCol w:w="2612"/>
        <w:gridCol w:w="770"/>
        <w:gridCol w:w="565"/>
        <w:gridCol w:w="757"/>
        <w:gridCol w:w="864"/>
        <w:gridCol w:w="821"/>
        <w:gridCol w:w="714"/>
        <w:gridCol w:w="727"/>
        <w:gridCol w:w="727"/>
        <w:gridCol w:w="662"/>
        <w:gridCol w:w="662"/>
        <w:gridCol w:w="662"/>
        <w:gridCol w:w="864"/>
        <w:gridCol w:w="763"/>
        <w:gridCol w:w="864"/>
        <w:gridCol w:w="662"/>
        <w:gridCol w:w="662"/>
        <w:gridCol w:w="317"/>
      </w:tblGrid>
      <w:tr w:rsidR="00FE75E0" w:rsidRPr="00FE75E0" w:rsidTr="00FE75E0">
        <w:trPr>
          <w:trHeight w:val="227"/>
        </w:trPr>
        <w:tc>
          <w:tcPr>
            <w:tcW w:w="0" w:type="auto"/>
            <w:gridSpan w:val="18"/>
            <w:tcBorders>
              <w:top w:val="nil"/>
              <w:left w:val="nil"/>
              <w:bottom w:val="single" w:sz="8" w:space="0" w:color="auto"/>
              <w:right w:val="nil"/>
            </w:tcBorders>
            <w:shd w:val="clear" w:color="auto" w:fill="auto"/>
            <w:vAlign w:val="center"/>
          </w:tcPr>
          <w:p w:rsidR="00FE75E0" w:rsidRPr="00FE75E0" w:rsidRDefault="00FE75E0" w:rsidP="00FE75E0">
            <w:pPr>
              <w:ind w:firstLine="0"/>
              <w:jc w:val="left"/>
              <w:rPr>
                <w:rFonts w:eastAsia="Times New Roman" w:cs="Times New Roman"/>
                <w:b/>
                <w:bCs/>
                <w:color w:val="000000"/>
                <w:sz w:val="22"/>
              </w:rPr>
            </w:pPr>
          </w:p>
          <w:p w:rsidR="00FE75E0" w:rsidRPr="00FE75E0" w:rsidRDefault="00FE75E0" w:rsidP="00FE75E0">
            <w:pPr>
              <w:ind w:firstLine="0"/>
              <w:jc w:val="left"/>
              <w:rPr>
                <w:rFonts w:eastAsia="Times New Roman" w:cs="Times New Roman"/>
                <w:b/>
                <w:bCs/>
                <w:color w:val="000000"/>
                <w:sz w:val="22"/>
              </w:rPr>
            </w:pPr>
            <w:r w:rsidRPr="00FE75E0">
              <w:rPr>
                <w:rFonts w:eastAsia="Times New Roman" w:cs="Times New Roman"/>
                <w:b/>
                <w:bCs/>
                <w:color w:val="000000"/>
                <w:sz w:val="22"/>
              </w:rPr>
              <w:t>Table 1: Descriptive Statistics and Correlation Matrix</w:t>
            </w:r>
          </w:p>
        </w:tc>
      </w:tr>
      <w:tr w:rsidR="00FE75E0" w:rsidRPr="00FE75E0" w:rsidTr="00FE75E0">
        <w:trPr>
          <w:trHeight w:val="304"/>
        </w:trPr>
        <w:tc>
          <w:tcPr>
            <w:tcW w:w="2613" w:type="dxa"/>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b/>
                <w:bCs/>
                <w:color w:val="000000"/>
                <w:sz w:val="22"/>
              </w:rPr>
            </w:pPr>
            <w:r w:rsidRPr="00FE75E0">
              <w:rPr>
                <w:rFonts w:eastAsia="Times New Roman" w:cs="Times New Roman"/>
                <w:b/>
                <w:bCs/>
                <w:color w:val="000000"/>
                <w:sz w:val="22"/>
              </w:rPr>
              <w:t>Variable</w:t>
            </w:r>
          </w:p>
        </w:tc>
        <w:tc>
          <w:tcPr>
            <w:tcW w:w="754" w:type="dxa"/>
            <w:tcBorders>
              <w:top w:val="nil"/>
              <w:left w:val="nil"/>
              <w:bottom w:val="single" w:sz="8" w:space="0" w:color="auto"/>
              <w:right w:val="nil"/>
            </w:tcBorders>
            <w:shd w:val="clear" w:color="auto" w:fill="auto"/>
          </w:tcPr>
          <w:p w:rsidR="00FE75E0" w:rsidRPr="00FE75E0" w:rsidRDefault="00FE75E0" w:rsidP="00FE75E0">
            <w:pPr>
              <w:ind w:firstLine="0"/>
              <w:rPr>
                <w:rFonts w:eastAsia="Times New Roman" w:cs="Times New Roman"/>
                <w:b/>
                <w:bCs/>
                <w:color w:val="000000"/>
                <w:sz w:val="22"/>
              </w:rPr>
            </w:pPr>
            <w:r w:rsidRPr="00FE75E0">
              <w:rPr>
                <w:rFonts w:eastAsia="Times New Roman" w:cs="Times New Roman"/>
                <w:b/>
                <w:bCs/>
                <w:color w:val="000000"/>
                <w:sz w:val="22"/>
              </w:rPr>
              <w:t xml:space="preserve">Mean </w:t>
            </w:r>
          </w:p>
        </w:tc>
        <w:tc>
          <w:tcPr>
            <w:tcW w:w="0" w:type="auto"/>
            <w:tcBorders>
              <w:top w:val="nil"/>
              <w:left w:val="nil"/>
              <w:bottom w:val="single" w:sz="8" w:space="0" w:color="auto"/>
              <w:right w:val="nil"/>
            </w:tcBorders>
            <w:shd w:val="clear" w:color="auto" w:fill="auto"/>
          </w:tcPr>
          <w:p w:rsidR="00FE75E0" w:rsidRPr="00FE75E0" w:rsidRDefault="00FE75E0" w:rsidP="00FE75E0">
            <w:pPr>
              <w:ind w:firstLine="0"/>
              <w:rPr>
                <w:rFonts w:eastAsia="Times New Roman" w:cs="Times New Roman"/>
                <w:b/>
                <w:bCs/>
                <w:color w:val="000000"/>
                <w:sz w:val="22"/>
              </w:rPr>
            </w:pPr>
            <w:r w:rsidRPr="00FE75E0">
              <w:rPr>
                <w:rFonts w:eastAsia="Times New Roman" w:cs="Times New Roman"/>
                <w:b/>
                <w:bCs/>
                <w:color w:val="000000"/>
                <w:sz w:val="22"/>
              </w:rPr>
              <w:t>S.D.</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4</w:t>
            </w:r>
          </w:p>
        </w:tc>
        <w:tc>
          <w:tcPr>
            <w:tcW w:w="711" w:type="dxa"/>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w:t>
            </w:r>
          </w:p>
        </w:tc>
        <w:tc>
          <w:tcPr>
            <w:tcW w:w="711" w:type="dxa"/>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6</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7</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8</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9</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14</w:t>
            </w:r>
          </w:p>
        </w:tc>
        <w:tc>
          <w:tcPr>
            <w:tcW w:w="0" w:type="auto"/>
            <w:tcBorders>
              <w:top w:val="nil"/>
              <w:left w:val="nil"/>
              <w:bottom w:val="single" w:sz="8" w:space="0" w:color="auto"/>
              <w:right w:val="nil"/>
            </w:tcBorders>
            <w:shd w:val="clear" w:color="auto" w:fill="auto"/>
            <w:vAlign w:val="bottom"/>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w:t>
            </w: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 Radical innovation</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3,12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 Incremental innovation</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3,38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,497</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 Specificity level</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3,43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,239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,489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4. Pay-for-performance</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3,67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1,45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,368</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,190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,349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 Risk-Aversion</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4,97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-,184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-0,023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0,062</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6.Transactional complexity</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3,50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,149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,205</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,249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,209</w:t>
            </w:r>
            <w:r w:rsidRPr="00FE75E0">
              <w:rPr>
                <w:rFonts w:eastAsia="Times New Roman" w:cs="Times New Roman"/>
                <w:color w:val="000000"/>
                <w:sz w:val="22"/>
                <w:vertAlign w:val="superscript"/>
              </w:rPr>
              <w:t>*</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-,019</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7. Trust</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3,93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,319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,320</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,013</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,025</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,196</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8, Relationship length</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11,49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8,43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-,020</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,068</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 xml:space="preserve">9. Firm size </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5,91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2,39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-,199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,077</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,031</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-,183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 Industry-Infrastructure</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0,11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-,099</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-,014</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 Industry-Fleet</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,179</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-,124</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,078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,164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 Industry-Process</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,184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,002</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,130</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-,289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-,198</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13.Industry-Manufacturing</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0,08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-,027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,094</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,198</w:t>
            </w:r>
            <w:r w:rsidRPr="00FE75E0">
              <w:rPr>
                <w:rFonts w:eastAsia="Times New Roman" w:cs="Times New Roman"/>
                <w:color w:val="000000"/>
                <w:sz w:val="22"/>
                <w:vertAlign w:val="superscript"/>
              </w:rPr>
              <w:t>*</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-,075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-,247</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14.Industry-Food, Beverage, Pharma</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0,13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-,180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-,289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-,214</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-,080</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-,079</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-,139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-,316</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-,119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15. Perspective focal firm/     partner</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0,52</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0,50</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,269</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,530</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,278</w:t>
            </w:r>
            <w:r w:rsidRPr="00FE75E0">
              <w:rPr>
                <w:rFonts w:eastAsia="Times New Roman" w:cs="Times New Roman"/>
                <w:color w:val="000000"/>
                <w:sz w:val="22"/>
                <w:vertAlign w:val="superscript"/>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-0,48</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-,154</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,031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,104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-,141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,154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,047</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-,045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-,126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1</w:t>
            </w:r>
          </w:p>
        </w:tc>
      </w:tr>
      <w:tr w:rsidR="00FE75E0" w:rsidRPr="00FE75E0" w:rsidTr="00FE75E0">
        <w:trPr>
          <w:trHeight w:val="217"/>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Cronbach's Alpha</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0,85</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0,929</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0,683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,865</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,901</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r>
      <w:tr w:rsidR="00FE75E0" w:rsidRPr="00FE75E0" w:rsidTr="00FE75E0">
        <w:trPr>
          <w:trHeight w:val="366"/>
        </w:trPr>
        <w:tc>
          <w:tcPr>
            <w:tcW w:w="2613" w:type="dxa"/>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Composite Reliability</w:t>
            </w:r>
          </w:p>
        </w:tc>
        <w:tc>
          <w:tcPr>
            <w:tcW w:w="754"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0,898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0,943</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0,824</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,898</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711" w:type="dxa"/>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,918</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r>
      <w:tr w:rsidR="00FE75E0" w:rsidRPr="00FE75E0" w:rsidTr="00FE75E0">
        <w:trPr>
          <w:trHeight w:val="366"/>
        </w:trPr>
        <w:tc>
          <w:tcPr>
            <w:tcW w:w="2613" w:type="dxa"/>
            <w:tcBorders>
              <w:top w:val="nil"/>
              <w:left w:val="nil"/>
              <w:bottom w:val="single" w:sz="8" w:space="0" w:color="auto"/>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Average Variance Extracted (AVE)</w:t>
            </w:r>
          </w:p>
        </w:tc>
        <w:tc>
          <w:tcPr>
            <w:tcW w:w="754" w:type="dxa"/>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0,688</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0,703</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0,611</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,597</w:t>
            </w:r>
          </w:p>
        </w:tc>
        <w:tc>
          <w:tcPr>
            <w:tcW w:w="711" w:type="dxa"/>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711" w:type="dxa"/>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,557</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c>
          <w:tcPr>
            <w:tcW w:w="0" w:type="auto"/>
            <w:tcBorders>
              <w:top w:val="nil"/>
              <w:left w:val="nil"/>
              <w:bottom w:val="single" w:sz="8" w:space="0" w:color="auto"/>
              <w:right w:val="nil"/>
            </w:tcBorders>
            <w:shd w:val="clear" w:color="auto" w:fill="auto"/>
            <w:noWrap/>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w:t>
            </w:r>
          </w:p>
        </w:tc>
      </w:tr>
      <w:tr w:rsidR="00FE75E0" w:rsidRPr="00FE75E0" w:rsidTr="00FE75E0">
        <w:trPr>
          <w:trHeight w:val="231"/>
        </w:trPr>
        <w:tc>
          <w:tcPr>
            <w:tcW w:w="0" w:type="auto"/>
            <w:gridSpan w:val="9"/>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N= 106.</w:t>
            </w: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290"/>
        </w:trPr>
        <w:tc>
          <w:tcPr>
            <w:tcW w:w="0" w:type="auto"/>
            <w:gridSpan w:val="9"/>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**Significance level: p&lt;0,01 (2-tailed).</w:t>
            </w: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r>
      <w:tr w:rsidR="00FE75E0" w:rsidRPr="00FE75E0" w:rsidTr="00FE75E0">
        <w:trPr>
          <w:trHeight w:val="290"/>
        </w:trPr>
        <w:tc>
          <w:tcPr>
            <w:tcW w:w="0" w:type="auto"/>
            <w:gridSpan w:val="9"/>
            <w:tcBorders>
              <w:top w:val="nil"/>
              <w:left w:val="nil"/>
              <w:bottom w:val="nil"/>
              <w:right w:val="nil"/>
            </w:tcBorders>
            <w:shd w:val="clear" w:color="auto" w:fill="auto"/>
          </w:tcPr>
          <w:p w:rsidR="00FE75E0" w:rsidRPr="00FE75E0" w:rsidRDefault="00FE75E0" w:rsidP="00FE75E0">
            <w:pPr>
              <w:ind w:firstLine="0"/>
              <w:rPr>
                <w:rFonts w:eastAsia="Times New Roman" w:cs="Times New Roman"/>
                <w:color w:val="000000"/>
                <w:sz w:val="22"/>
              </w:rPr>
            </w:pPr>
            <w:r w:rsidRPr="00FE75E0">
              <w:rPr>
                <w:rFonts w:eastAsia="Times New Roman" w:cs="Times New Roman"/>
                <w:color w:val="000000"/>
                <w:sz w:val="22"/>
              </w:rPr>
              <w:t>*Significance level: p&lt;0,05 (2-tailed).</w:t>
            </w: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c>
          <w:tcPr>
            <w:tcW w:w="0" w:type="auto"/>
            <w:tcBorders>
              <w:top w:val="nil"/>
              <w:left w:val="nil"/>
              <w:bottom w:val="nil"/>
              <w:right w:val="nil"/>
            </w:tcBorders>
            <w:shd w:val="clear" w:color="auto" w:fill="auto"/>
            <w:noWrap/>
            <w:vAlign w:val="bottom"/>
          </w:tcPr>
          <w:p w:rsidR="00FE75E0" w:rsidRPr="00FE75E0" w:rsidRDefault="00FE75E0" w:rsidP="00FE75E0">
            <w:pPr>
              <w:ind w:firstLine="0"/>
              <w:rPr>
                <w:rFonts w:eastAsia="Times New Roman" w:cs="Times New Roman"/>
                <w:color w:val="000000"/>
                <w:sz w:val="22"/>
              </w:rPr>
            </w:pPr>
          </w:p>
        </w:tc>
      </w:tr>
    </w:tbl>
    <w:p w:rsidR="003B6FFD" w:rsidRPr="005C4119" w:rsidRDefault="003B6FFD" w:rsidP="003B6FFD">
      <w:pPr>
        <w:rPr>
          <w:rFonts w:cs="Times New Roman"/>
        </w:rPr>
        <w:sectPr w:rsidR="003B6FFD" w:rsidRPr="005C4119" w:rsidSect="003B6FFD">
          <w:pgSz w:w="16839" w:h="11907" w:orient="landscape" w:code="9"/>
          <w:pgMar w:top="1440" w:right="1440" w:bottom="1440" w:left="1440" w:header="709" w:footer="709" w:gutter="0"/>
          <w:cols w:space="708"/>
          <w:docGrid w:linePitch="360"/>
        </w:sectPr>
      </w:pPr>
    </w:p>
    <w:tbl>
      <w:tblPr>
        <w:tblW w:w="13861" w:type="dxa"/>
        <w:tblInd w:w="93" w:type="dxa"/>
        <w:tblCellMar>
          <w:left w:w="0" w:type="dxa"/>
          <w:right w:w="0" w:type="dxa"/>
        </w:tblCellMar>
        <w:tblLook w:val="04A0" w:firstRow="1" w:lastRow="0" w:firstColumn="1" w:lastColumn="0" w:noHBand="0" w:noVBand="1"/>
      </w:tblPr>
      <w:tblGrid>
        <w:gridCol w:w="278"/>
        <w:gridCol w:w="2586"/>
        <w:gridCol w:w="1677"/>
        <w:gridCol w:w="1595"/>
        <w:gridCol w:w="392"/>
        <w:gridCol w:w="1737"/>
        <w:gridCol w:w="1657"/>
        <w:gridCol w:w="352"/>
        <w:gridCol w:w="1875"/>
        <w:gridCol w:w="1717"/>
      </w:tblGrid>
      <w:tr w:rsidR="00FE75E0" w:rsidRPr="00FE75E0" w:rsidTr="00FE75E0">
        <w:trPr>
          <w:trHeight w:val="300"/>
        </w:trPr>
        <w:tc>
          <w:tcPr>
            <w:tcW w:w="6141" w:type="dxa"/>
            <w:gridSpan w:val="4"/>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b/>
                <w:bCs/>
                <w:color w:val="000000"/>
                <w:sz w:val="22"/>
              </w:rPr>
            </w:pPr>
            <w:r w:rsidRPr="00FE75E0">
              <w:rPr>
                <w:rFonts w:eastAsia="Times New Roman" w:cs="Times New Roman"/>
                <w:b/>
                <w:bCs/>
                <w:color w:val="000000"/>
                <w:sz w:val="22"/>
              </w:rPr>
              <w:lastRenderedPageBreak/>
              <w:t>Table 2: Results of Hypotheses Tests Using PLS</w:t>
            </w:r>
          </w:p>
        </w:tc>
        <w:tc>
          <w:tcPr>
            <w:tcW w:w="3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174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166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34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18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172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277" w:type="dxa"/>
            <w:gridSpan w:val="2"/>
            <w:tcBorders>
              <w:top w:val="single" w:sz="4" w:space="0" w:color="auto"/>
              <w:left w:val="nil"/>
              <w:bottom w:val="single" w:sz="4" w:space="0" w:color="auto"/>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Model 1: Impact on</w:t>
            </w:r>
          </w:p>
        </w:tc>
        <w:tc>
          <w:tcPr>
            <w:tcW w:w="380" w:type="dxa"/>
            <w:tcBorders>
              <w:top w:val="nil"/>
              <w:left w:val="nil"/>
              <w:bottom w:val="nil"/>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p>
        </w:tc>
        <w:tc>
          <w:tcPr>
            <w:tcW w:w="3400" w:type="dxa"/>
            <w:gridSpan w:val="2"/>
            <w:tcBorders>
              <w:top w:val="single" w:sz="4" w:space="0" w:color="auto"/>
              <w:left w:val="nil"/>
              <w:bottom w:val="single" w:sz="4" w:space="0" w:color="auto"/>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Model 2: Impact on</w:t>
            </w:r>
          </w:p>
        </w:tc>
        <w:tc>
          <w:tcPr>
            <w:tcW w:w="340" w:type="dxa"/>
            <w:tcBorders>
              <w:top w:val="nil"/>
              <w:left w:val="nil"/>
              <w:bottom w:val="nil"/>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p>
        </w:tc>
        <w:tc>
          <w:tcPr>
            <w:tcW w:w="3600" w:type="dxa"/>
            <w:gridSpan w:val="2"/>
            <w:tcBorders>
              <w:top w:val="single" w:sz="4" w:space="0" w:color="auto"/>
              <w:left w:val="nil"/>
              <w:bottom w:val="single" w:sz="4" w:space="0" w:color="auto"/>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Model 3: Impact on</w:t>
            </w:r>
          </w:p>
        </w:tc>
      </w:tr>
      <w:tr w:rsidR="00FE75E0" w:rsidRPr="00FE75E0" w:rsidTr="00FE75E0">
        <w:trPr>
          <w:trHeight w:val="624"/>
        </w:trPr>
        <w:tc>
          <w:tcPr>
            <w:tcW w:w="265"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2599"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w:t>
            </w:r>
          </w:p>
        </w:tc>
        <w:tc>
          <w:tcPr>
            <w:tcW w:w="1680"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center"/>
              <w:rPr>
                <w:rFonts w:eastAsia="Times New Roman" w:cs="Times New Roman"/>
                <w:iCs/>
                <w:color w:val="000000"/>
                <w:sz w:val="22"/>
              </w:rPr>
            </w:pPr>
            <w:r w:rsidRPr="00FE75E0">
              <w:rPr>
                <w:rFonts w:eastAsia="Times New Roman" w:cs="Times New Roman"/>
                <w:iCs/>
                <w:color w:val="000000"/>
                <w:sz w:val="22"/>
              </w:rPr>
              <w:t>Incremental innovation</w:t>
            </w:r>
          </w:p>
        </w:tc>
        <w:tc>
          <w:tcPr>
            <w:tcW w:w="1597"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left"/>
              <w:rPr>
                <w:rFonts w:eastAsia="Times New Roman" w:cs="Times New Roman"/>
                <w:iCs/>
                <w:color w:val="000000"/>
                <w:sz w:val="22"/>
              </w:rPr>
            </w:pPr>
            <w:r w:rsidRPr="00FE75E0">
              <w:rPr>
                <w:rFonts w:eastAsia="Times New Roman" w:cs="Times New Roman"/>
                <w:iCs/>
                <w:color w:val="000000"/>
                <w:sz w:val="22"/>
              </w:rPr>
              <w:t>Radical innovation</w:t>
            </w:r>
          </w:p>
        </w:tc>
        <w:tc>
          <w:tcPr>
            <w:tcW w:w="3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w:t>
            </w:r>
          </w:p>
        </w:tc>
        <w:tc>
          <w:tcPr>
            <w:tcW w:w="1740"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Incremental innovation</w:t>
            </w:r>
          </w:p>
        </w:tc>
        <w:tc>
          <w:tcPr>
            <w:tcW w:w="1660"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Radical innovation</w:t>
            </w:r>
          </w:p>
        </w:tc>
        <w:tc>
          <w:tcPr>
            <w:tcW w:w="340" w:type="dxa"/>
            <w:tcBorders>
              <w:top w:val="nil"/>
              <w:left w:val="nil"/>
              <w:bottom w:val="single" w:sz="4" w:space="0" w:color="auto"/>
              <w:right w:val="nil"/>
            </w:tcBorders>
            <w:shd w:val="clear" w:color="auto" w:fill="auto"/>
            <w:noWrap/>
            <w:vAlign w:val="center"/>
          </w:tcPr>
          <w:p w:rsidR="00FE75E0" w:rsidRPr="00FE75E0" w:rsidRDefault="00FE75E0" w:rsidP="00FE75E0">
            <w:pPr>
              <w:ind w:firstLine="0"/>
              <w:jc w:val="center"/>
              <w:rPr>
                <w:rFonts w:eastAsia="Times New Roman" w:cs="Times New Roman"/>
                <w:color w:val="000000"/>
                <w:sz w:val="22"/>
              </w:rPr>
            </w:pPr>
          </w:p>
        </w:tc>
        <w:tc>
          <w:tcPr>
            <w:tcW w:w="1880"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Incremental innovation</w:t>
            </w:r>
          </w:p>
        </w:tc>
        <w:tc>
          <w:tcPr>
            <w:tcW w:w="1720" w:type="dxa"/>
            <w:tcBorders>
              <w:top w:val="nil"/>
              <w:left w:val="nil"/>
              <w:bottom w:val="single" w:sz="4" w:space="0" w:color="auto"/>
              <w:right w:val="nil"/>
            </w:tcBorders>
            <w:shd w:val="clear" w:color="auto" w:fill="auto"/>
            <w:vAlign w:val="center"/>
          </w:tcPr>
          <w:p w:rsidR="00FE75E0" w:rsidRPr="00FE75E0" w:rsidRDefault="00FE75E0" w:rsidP="00FE75E0">
            <w:pPr>
              <w:ind w:firstLine="0"/>
              <w:jc w:val="center"/>
              <w:rPr>
                <w:rFonts w:eastAsia="Times New Roman" w:cs="Times New Roman"/>
                <w:color w:val="000000"/>
                <w:sz w:val="22"/>
              </w:rPr>
            </w:pPr>
            <w:r w:rsidRPr="00FE75E0">
              <w:rPr>
                <w:rFonts w:eastAsia="Times New Roman" w:cs="Times New Roman"/>
                <w:color w:val="000000"/>
                <w:sz w:val="22"/>
              </w:rPr>
              <w:t>Radical innovation</w:t>
            </w:r>
          </w:p>
        </w:tc>
      </w:tr>
      <w:tr w:rsidR="00FE75E0" w:rsidRPr="00FE75E0" w:rsidTr="00FE75E0">
        <w:trPr>
          <w:trHeight w:val="300"/>
        </w:trPr>
        <w:tc>
          <w:tcPr>
            <w:tcW w:w="2864" w:type="dxa"/>
            <w:gridSpan w:val="2"/>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Controls</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noWrap/>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Firm size</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(0.04)</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-0.03 (0.04)</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-0.04 (0.04)</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-0.12***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0.00 (0.03)</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noWrap/>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Trust</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0.23*** (0.05)</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0.12* (0.06)</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0.19*** (0.04)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0.13**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0.22*** (0.05)</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0.19**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noWrap/>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Relationship duration</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0.01 (0.02)</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-0.10* (0.06)</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0.05 (0.03)</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-0.08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0.03 (0.03)</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-0.10*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noWrap/>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Transactional complexity</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0.15***(0.05)</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0.13** (0.06)</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0.08* (0.04)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0.04 (0.04)</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0.09*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Industry-Infrastructure</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 (0.05)</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0.00 (0.04)</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0.11**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0.04 (0.04)</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0.09* (0.03)</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-0.02 (0.04)</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Industry-Fleet</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0.04 (0.03)</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 (0.03)</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-0.01 (0.02)</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-0.01 (0.02)</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0.00 (0.02)</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-0.02 (0.03)</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Industry-Process</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0.05 (0.05)</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0.03 (0.05)</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 (0.04)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0.01 (0.04)</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0.07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0.01 (0.04)</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Industry-Manufacturing</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-0.09 (0.07)</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-0.07 (0.06)</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-0.07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-0.08 (0.06)</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-0.07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-0.11* (0.06)</w:t>
            </w:r>
          </w:p>
        </w:tc>
      </w:tr>
      <w:tr w:rsidR="00FE75E0" w:rsidRPr="00FE75E0" w:rsidTr="00FE75E0">
        <w:trPr>
          <w:trHeight w:val="6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Industry-Food, Beverage, Pharma</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-0.19*** (0.06)</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(0.07)</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-0.14***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-0.14**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-0.12** (0.05)</w:t>
            </w:r>
          </w:p>
        </w:tc>
      </w:tr>
      <w:tr w:rsidR="00FE75E0" w:rsidRPr="00FE75E0" w:rsidTr="00FE75E0">
        <w:trPr>
          <w:trHeight w:val="6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Perspective focal firm /partner</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0.46*** (0.04)</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0.24*** (0.05)</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0.36***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0.26***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0.35***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0.24*** (0.05)</w:t>
            </w:r>
          </w:p>
        </w:tc>
      </w:tr>
      <w:tr w:rsidR="00FE75E0" w:rsidRPr="00FE75E0" w:rsidTr="00FE75E0">
        <w:trPr>
          <w:trHeight w:val="300"/>
        </w:trPr>
        <w:tc>
          <w:tcPr>
            <w:tcW w:w="2864" w:type="dxa"/>
            <w:gridSpan w:val="2"/>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Direct effects</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Specificity level</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highlight w:val="yellow"/>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0.23*** (0.06)</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-0.06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0.20*** (0.06)</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-0.09*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xml:space="preserve">Specificity level^2 </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highlight w:val="yellow"/>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-0.10**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-0.11**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0.05 (0.04)</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xml:space="preserve">Pay-for-performance </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0.11** (0.05)</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0.42***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0.10*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0.38***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Risk-aversion</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-0.08* (0.05)</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-0.13*** (0.04)</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-0.08** (0.04)</w:t>
            </w:r>
          </w:p>
        </w:tc>
      </w:tr>
      <w:tr w:rsidR="00FE75E0" w:rsidRPr="00FE75E0" w:rsidTr="00FE75E0">
        <w:trPr>
          <w:trHeight w:val="300"/>
        </w:trPr>
        <w:tc>
          <w:tcPr>
            <w:tcW w:w="2864" w:type="dxa"/>
            <w:gridSpan w:val="2"/>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Moderation effect</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PfPx RA</w:t>
            </w: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0.13*** (0.08)</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0.27*** (0.05)</w:t>
            </w:r>
          </w:p>
        </w:tc>
      </w:tr>
      <w:tr w:rsidR="00FE75E0" w:rsidRPr="00FE75E0" w:rsidTr="00FE75E0">
        <w:trPr>
          <w:trHeight w:val="300"/>
        </w:trPr>
        <w:tc>
          <w:tcPr>
            <w:tcW w:w="265"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R²</w:t>
            </w:r>
          </w:p>
        </w:tc>
        <w:tc>
          <w:tcPr>
            <w:tcW w:w="2599" w:type="dxa"/>
            <w:tcBorders>
              <w:top w:val="nil"/>
              <w:left w:val="nil"/>
              <w:bottom w:val="nil"/>
              <w:right w:val="nil"/>
            </w:tcBorders>
            <w:shd w:val="clear" w:color="auto" w:fill="auto"/>
          </w:tcPr>
          <w:p w:rsidR="00FE75E0" w:rsidRPr="00FE75E0" w:rsidRDefault="00FE75E0" w:rsidP="00FE75E0">
            <w:pPr>
              <w:ind w:firstLine="0"/>
              <w:jc w:val="left"/>
              <w:rPr>
                <w:rFonts w:eastAsia="Times New Roman" w:cs="Times New Roman"/>
                <w:i/>
                <w:iCs/>
                <w:color w:val="000000"/>
                <w:sz w:val="22"/>
              </w:rPr>
            </w:pPr>
          </w:p>
        </w:tc>
        <w:tc>
          <w:tcPr>
            <w:tcW w:w="16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0.45</w:t>
            </w:r>
          </w:p>
        </w:tc>
        <w:tc>
          <w:tcPr>
            <w:tcW w:w="1597"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0.15</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0.54</w:t>
            </w: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0.28</w:t>
            </w: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0.55</w:t>
            </w: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0.34</w:t>
            </w:r>
          </w:p>
        </w:tc>
      </w:tr>
      <w:tr w:rsidR="00FE75E0" w:rsidRPr="00FE75E0" w:rsidTr="00FE75E0">
        <w:trPr>
          <w:trHeight w:val="300"/>
        </w:trPr>
        <w:tc>
          <w:tcPr>
            <w:tcW w:w="2864" w:type="dxa"/>
            <w:gridSpan w:val="2"/>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∆R²</w:t>
            </w:r>
          </w:p>
        </w:tc>
        <w:tc>
          <w:tcPr>
            <w:tcW w:w="16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597"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0.09</w:t>
            </w:r>
          </w:p>
        </w:tc>
        <w:tc>
          <w:tcPr>
            <w:tcW w:w="166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0.13</w:t>
            </w:r>
          </w:p>
        </w:tc>
        <w:tc>
          <w:tcPr>
            <w:tcW w:w="34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0.01</w:t>
            </w:r>
          </w:p>
        </w:tc>
        <w:tc>
          <w:tcPr>
            <w:tcW w:w="1720" w:type="dxa"/>
            <w:tcBorders>
              <w:top w:val="nil"/>
              <w:left w:val="nil"/>
              <w:bottom w:val="single" w:sz="4" w:space="0" w:color="auto"/>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 xml:space="preserve"> 0.06</w:t>
            </w:r>
          </w:p>
        </w:tc>
      </w:tr>
      <w:tr w:rsidR="00FE75E0" w:rsidRPr="00FE75E0" w:rsidTr="00FE75E0">
        <w:trPr>
          <w:trHeight w:val="300"/>
        </w:trPr>
        <w:tc>
          <w:tcPr>
            <w:tcW w:w="13861" w:type="dxa"/>
            <w:gridSpan w:val="10"/>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i/>
                <w:iCs/>
                <w:color w:val="000000"/>
                <w:sz w:val="22"/>
              </w:rPr>
            </w:pPr>
            <w:r w:rsidRPr="00FE75E0">
              <w:rPr>
                <w:rFonts w:eastAsia="Times New Roman" w:cs="Times New Roman"/>
                <w:i/>
                <w:iCs/>
                <w:color w:val="000000"/>
                <w:sz w:val="22"/>
              </w:rPr>
              <w:t xml:space="preserve">Notes. </w:t>
            </w:r>
            <w:r w:rsidRPr="00FE75E0">
              <w:rPr>
                <w:rFonts w:eastAsia="Times New Roman" w:cs="Times New Roman"/>
                <w:iCs/>
                <w:color w:val="000000"/>
                <w:sz w:val="22"/>
              </w:rPr>
              <w:t xml:space="preserve">PfP: Pay-for-performance; RA: Risk-aversion. Standardized coefficients are shown, with standard errors in parentheses. </w:t>
            </w:r>
          </w:p>
        </w:tc>
      </w:tr>
      <w:tr w:rsidR="00FE75E0" w:rsidRPr="00FE75E0" w:rsidTr="00FE75E0">
        <w:trPr>
          <w:trHeight w:val="300"/>
        </w:trPr>
        <w:tc>
          <w:tcPr>
            <w:tcW w:w="6141" w:type="dxa"/>
            <w:gridSpan w:val="4"/>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r w:rsidRPr="00FE75E0">
              <w:rPr>
                <w:rFonts w:eastAsia="Times New Roman" w:cs="Times New Roman"/>
                <w:color w:val="000000"/>
                <w:sz w:val="22"/>
              </w:rPr>
              <w:t>Two-tailed tests. *</w:t>
            </w:r>
            <w:r w:rsidRPr="00FE75E0">
              <w:rPr>
                <w:rFonts w:eastAsia="Times New Roman" w:cs="Times New Roman"/>
                <w:i/>
                <w:iCs/>
                <w:color w:val="000000"/>
                <w:sz w:val="22"/>
              </w:rPr>
              <w:t xml:space="preserve">p </w:t>
            </w:r>
            <w:r w:rsidRPr="00FE75E0">
              <w:rPr>
                <w:rFonts w:eastAsia="Times New Roman" w:cs="Times New Roman"/>
                <w:color w:val="000000"/>
                <w:sz w:val="22"/>
              </w:rPr>
              <w:t>&lt; 0.1, **</w:t>
            </w:r>
            <w:r w:rsidRPr="00FE75E0">
              <w:rPr>
                <w:rFonts w:eastAsia="Times New Roman" w:cs="Times New Roman"/>
                <w:i/>
                <w:iCs/>
                <w:color w:val="000000"/>
                <w:sz w:val="22"/>
              </w:rPr>
              <w:t xml:space="preserve">p &lt; </w:t>
            </w:r>
            <w:r w:rsidRPr="00FE75E0">
              <w:rPr>
                <w:rFonts w:eastAsia="Times New Roman" w:cs="Times New Roman"/>
                <w:iCs/>
                <w:color w:val="000000"/>
                <w:sz w:val="22"/>
              </w:rPr>
              <w:t>0.05</w:t>
            </w:r>
            <w:r w:rsidRPr="00FE75E0">
              <w:rPr>
                <w:rFonts w:eastAsia="Times New Roman" w:cs="Times New Roman"/>
                <w:i/>
                <w:iCs/>
                <w:color w:val="000000"/>
                <w:sz w:val="22"/>
              </w:rPr>
              <w:t>, ***p</w:t>
            </w:r>
            <w:r w:rsidRPr="00FE75E0">
              <w:rPr>
                <w:rFonts w:eastAsia="Times New Roman" w:cs="Times New Roman"/>
                <w:color w:val="000000"/>
                <w:sz w:val="22"/>
              </w:rPr>
              <w:t xml:space="preserve"> &lt; 0.01.</w:t>
            </w:r>
          </w:p>
        </w:tc>
        <w:tc>
          <w:tcPr>
            <w:tcW w:w="3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66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34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88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c>
          <w:tcPr>
            <w:tcW w:w="1720" w:type="dxa"/>
            <w:tcBorders>
              <w:top w:val="nil"/>
              <w:left w:val="nil"/>
              <w:bottom w:val="nil"/>
              <w:right w:val="nil"/>
            </w:tcBorders>
            <w:shd w:val="clear" w:color="auto" w:fill="auto"/>
            <w:noWrap/>
            <w:vAlign w:val="bottom"/>
          </w:tcPr>
          <w:p w:rsidR="00FE75E0" w:rsidRPr="00FE75E0" w:rsidRDefault="00FE75E0" w:rsidP="00FE75E0">
            <w:pPr>
              <w:ind w:firstLine="0"/>
              <w:jc w:val="left"/>
              <w:rPr>
                <w:rFonts w:eastAsia="Times New Roman" w:cs="Times New Roman"/>
                <w:color w:val="000000"/>
                <w:sz w:val="22"/>
              </w:rPr>
            </w:pPr>
          </w:p>
        </w:tc>
      </w:tr>
    </w:tbl>
    <w:p w:rsidR="003B6FFD" w:rsidRDefault="003B6FFD" w:rsidP="003B6FFD">
      <w:pPr>
        <w:tabs>
          <w:tab w:val="left" w:pos="2992"/>
          <w:tab w:val="center" w:pos="4513"/>
        </w:tabs>
        <w:spacing w:line="480" w:lineRule="auto"/>
        <w:rPr>
          <w:rFonts w:cs="Times New Roman"/>
          <w:b/>
          <w:szCs w:val="24"/>
        </w:rPr>
        <w:sectPr w:rsidR="003B6FFD" w:rsidSect="003B6FFD">
          <w:pgSz w:w="16839" w:h="11907" w:orient="landscape" w:code="9"/>
          <w:pgMar w:top="1440" w:right="1440" w:bottom="1440" w:left="1440" w:header="709" w:footer="709" w:gutter="0"/>
          <w:cols w:space="708"/>
          <w:docGrid w:linePitch="360"/>
        </w:sectPr>
      </w:pPr>
    </w:p>
    <w:p w:rsidR="003B6FFD" w:rsidRDefault="00FE75E0" w:rsidP="00E4720E">
      <w:pPr>
        <w:ind w:firstLine="0"/>
      </w:pPr>
      <w:r>
        <w:rPr>
          <w:rFonts w:cs="Times New Roman"/>
          <w:b/>
          <w:noProof/>
          <w:szCs w:val="24"/>
        </w:rPr>
        <w:lastRenderedPageBreak/>
        <w:drawing>
          <wp:anchor distT="0" distB="0" distL="114300" distR="114300" simplePos="0" relativeHeight="251659264" behindDoc="1" locked="0" layoutInCell="1" allowOverlap="1" wp14:anchorId="1F10743A" wp14:editId="55478B18">
            <wp:simplePos x="0" y="0"/>
            <wp:positionH relativeFrom="column">
              <wp:posOffset>-548729</wp:posOffset>
            </wp:positionH>
            <wp:positionV relativeFrom="paragraph">
              <wp:posOffset>-181034</wp:posOffset>
            </wp:positionV>
            <wp:extent cx="6163310" cy="516572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3310" cy="516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FFD" w:rsidRPr="00E97061" w:rsidRDefault="003B6FFD" w:rsidP="003B6FFD">
      <w:pPr>
        <w:tabs>
          <w:tab w:val="left" w:pos="2992"/>
          <w:tab w:val="center" w:pos="4513"/>
        </w:tabs>
        <w:spacing w:line="480" w:lineRule="auto"/>
        <w:rPr>
          <w:rFonts w:cs="Times New Roman"/>
          <w:b/>
          <w:szCs w:val="24"/>
        </w:rPr>
      </w:pPr>
      <w:r w:rsidRPr="00613B12">
        <w:rPr>
          <w:rFonts w:cs="Times New Roman"/>
          <w:b/>
          <w:noProof/>
          <w:szCs w:val="24"/>
        </w:rPr>
        <mc:AlternateContent>
          <mc:Choice Requires="wps">
            <w:drawing>
              <wp:anchor distT="0" distB="0" distL="114300" distR="114300" simplePos="0" relativeHeight="251656192" behindDoc="0" locked="0" layoutInCell="1" allowOverlap="1" wp14:anchorId="6908B739" wp14:editId="0E69E8C4">
                <wp:simplePos x="0" y="0"/>
                <wp:positionH relativeFrom="column">
                  <wp:posOffset>-297815</wp:posOffset>
                </wp:positionH>
                <wp:positionV relativeFrom="paragraph">
                  <wp:posOffset>329565</wp:posOffset>
                </wp:positionV>
                <wp:extent cx="4933315" cy="35052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350520"/>
                        </a:xfrm>
                        <a:prstGeom prst="rect">
                          <a:avLst/>
                        </a:prstGeom>
                        <a:solidFill>
                          <a:srgbClr val="FFFFFF"/>
                        </a:solidFill>
                        <a:ln w="9525">
                          <a:noFill/>
                          <a:miter lim="800000"/>
                          <a:headEnd/>
                          <a:tailEnd/>
                        </a:ln>
                      </wps:spPr>
                      <wps:txbx>
                        <w:txbxContent>
                          <w:p w:rsidR="00B62750" w:rsidRPr="000D78ED" w:rsidRDefault="00B62750" w:rsidP="003B6FFD">
                            <w:pPr>
                              <w:rPr>
                                <w:rFonts w:cs="Times New Roman"/>
                                <w:b/>
                                <w:sz w:val="18"/>
                                <w:szCs w:val="18"/>
                              </w:rPr>
                            </w:pPr>
                            <w:r w:rsidRPr="000D78ED">
                              <w:rPr>
                                <w:rFonts w:cs="Times New Roman"/>
                                <w:b/>
                                <w:sz w:val="18"/>
                                <w:szCs w:val="18"/>
                              </w:rPr>
                              <w:t>FIGURE 1</w:t>
                            </w:r>
                            <w:r>
                              <w:rPr>
                                <w:rFonts w:cs="Times New Roman"/>
                                <w:b/>
                                <w:sz w:val="18"/>
                                <w:szCs w:val="18"/>
                              </w:rPr>
                              <w:t>:</w:t>
                            </w:r>
                            <w:r w:rsidRPr="0001680D">
                              <w:rPr>
                                <w:rFonts w:cs="Times New Roman"/>
                                <w:b/>
                                <w:sz w:val="18"/>
                                <w:szCs w:val="18"/>
                              </w:rPr>
                              <w:t xml:space="preserve"> Conceptual M</w:t>
                            </w:r>
                            <w:r>
                              <w:rPr>
                                <w:rFonts w:cs="Times New Roman"/>
                                <w:b/>
                                <w:sz w:val="18"/>
                                <w:szCs w:val="18"/>
                              </w:rPr>
                              <w:t>odel: Relationship between PBC Characteristics and I</w:t>
                            </w:r>
                            <w:r w:rsidRPr="0001680D">
                              <w:rPr>
                                <w:rFonts w:cs="Times New Roman"/>
                                <w:b/>
                                <w:sz w:val="18"/>
                                <w:szCs w:val="18"/>
                              </w:rPr>
                              <w:t>nnovation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5pt;margin-top:25.95pt;width:388.45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" stroked="f">
                <v:textbox>
                  <w:txbxContent>
                    <w:p w:rsidR="00B62750" w:rsidRPr="000D78ED" w:rsidRDefault="00B62750" w:rsidP="003B6FFD">
                      <w:pPr>
                        <w:rPr>
                          <w:rFonts w:cs="Times New Roman"/>
                          <w:b/>
                          <w:sz w:val="18"/>
                          <w:szCs w:val="18"/>
                        </w:rPr>
                      </w:pPr>
                      <w:r w:rsidRPr="000D78ED">
                        <w:rPr>
                          <w:rFonts w:cs="Times New Roman"/>
                          <w:b/>
                          <w:sz w:val="18"/>
                          <w:szCs w:val="18"/>
                        </w:rPr>
                        <w:t>FIGURE 1</w:t>
                      </w:r>
                      <w:r>
                        <w:rPr>
                          <w:rFonts w:cs="Times New Roman"/>
                          <w:b/>
                          <w:sz w:val="18"/>
                          <w:szCs w:val="18"/>
                        </w:rPr>
                        <w:t>:</w:t>
                      </w:r>
                      <w:r w:rsidRPr="0001680D">
                        <w:rPr>
                          <w:rFonts w:cs="Times New Roman"/>
                          <w:b/>
                          <w:sz w:val="18"/>
                          <w:szCs w:val="18"/>
                        </w:rPr>
                        <w:t xml:space="preserve"> Conceptual M</w:t>
                      </w:r>
                      <w:r>
                        <w:rPr>
                          <w:rFonts w:cs="Times New Roman"/>
                          <w:b/>
                          <w:sz w:val="18"/>
                          <w:szCs w:val="18"/>
                        </w:rPr>
                        <w:t>odel: Relationship between PBC Characteristics and I</w:t>
                      </w:r>
                      <w:r w:rsidRPr="0001680D">
                        <w:rPr>
                          <w:rFonts w:cs="Times New Roman"/>
                          <w:b/>
                          <w:sz w:val="18"/>
                          <w:szCs w:val="18"/>
                        </w:rPr>
                        <w:t>nnovation</w:t>
                      </w:r>
                    </w:p>
                  </w:txbxContent>
                </v:textbox>
              </v:shape>
            </w:pict>
          </mc:Fallback>
        </mc:AlternateContent>
      </w:r>
      <w:r w:rsidRPr="00E97061">
        <w:rPr>
          <w:rFonts w:cs="Times New Roman"/>
          <w:b/>
          <w:szCs w:val="24"/>
        </w:rPr>
        <w:t>FIGURES</w:t>
      </w: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3B6FFD" w:rsidP="00E4720E">
      <w:pPr>
        <w:ind w:firstLine="0"/>
      </w:pPr>
    </w:p>
    <w:p w:rsidR="003B6FFD" w:rsidRDefault="00987840" w:rsidP="00E4720E">
      <w:pPr>
        <w:ind w:firstLine="0"/>
      </w:pPr>
      <w:r>
        <w:rPr>
          <w:b/>
          <w:sz w:val="18"/>
          <w:szCs w:val="18"/>
        </w:rPr>
        <w:t>FIGURE 2A: Plot of the Moderating Effect of Risk-Aversion on Incremental Innovation</w:t>
      </w:r>
    </w:p>
    <w:p w:rsidR="003B6FFD" w:rsidRDefault="003B6FFD" w:rsidP="00E4720E">
      <w:pPr>
        <w:ind w:firstLine="0"/>
      </w:pPr>
    </w:p>
    <w:p w:rsidR="003B6FFD" w:rsidRDefault="003B6FFD" w:rsidP="003B6FFD"/>
    <w:p w:rsidR="003B6FFD" w:rsidRDefault="00987840" w:rsidP="003B6FFD">
      <w:r>
        <w:rPr>
          <w:noProof/>
        </w:rPr>
        <w:drawing>
          <wp:anchor distT="0" distB="6068" distL="114300" distR="118091" simplePos="0" relativeHeight="251660288" behindDoc="1" locked="0" layoutInCell="1" allowOverlap="1" wp14:anchorId="1F4D21B7" wp14:editId="6D133501">
            <wp:simplePos x="0" y="0"/>
            <wp:positionH relativeFrom="column">
              <wp:posOffset>-106346</wp:posOffset>
            </wp:positionH>
            <wp:positionV relativeFrom="paragraph">
              <wp:posOffset>25935</wp:posOffset>
            </wp:positionV>
            <wp:extent cx="5728335" cy="3337560"/>
            <wp:effectExtent l="0" t="0" r="24765" b="15240"/>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p>
    <w:p w:rsidR="00987840" w:rsidRDefault="00987840" w:rsidP="00E4720E">
      <w:pPr>
        <w:ind w:firstLine="0"/>
      </w:pPr>
      <w:r>
        <w:rPr>
          <w:noProof/>
        </w:rPr>
        <w:lastRenderedPageBreak/>
        <mc:AlternateContent>
          <mc:Choice Requires="wps">
            <w:drawing>
              <wp:anchor distT="0" distB="0" distL="114300" distR="114300" simplePos="0" relativeHeight="251661312" behindDoc="0" locked="0" layoutInCell="1" allowOverlap="1" wp14:anchorId="3D781F3F" wp14:editId="44539777">
                <wp:simplePos x="0" y="0"/>
                <wp:positionH relativeFrom="column">
                  <wp:posOffset>-262255</wp:posOffset>
                </wp:positionH>
                <wp:positionV relativeFrom="paragraph">
                  <wp:posOffset>73025</wp:posOffset>
                </wp:positionV>
                <wp:extent cx="5973445" cy="220345"/>
                <wp:effectExtent l="0" t="0" r="825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22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750" w:rsidRDefault="00B62750">
                            <w:pPr>
                              <w:rPr>
                                <w:b/>
                                <w:sz w:val="18"/>
                                <w:szCs w:val="18"/>
                              </w:rPr>
                            </w:pPr>
                            <w:r>
                              <w:rPr>
                                <w:b/>
                                <w:sz w:val="18"/>
                                <w:szCs w:val="18"/>
                              </w:rPr>
                              <w:t>FIGURE 2B: Plot of the Moderating Effect of Risk-Aversion Propensity on Radical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0.65pt;margin-top:5.75pt;width:470.35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hdgwIAABY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" stroked="f">
                <v:textbox>
                  <w:txbxContent>
                    <w:p w:rsidR="00B62750" w:rsidRDefault="00B62750">
                      <w:pPr>
                        <w:rPr>
                          <w:b/>
                          <w:sz w:val="18"/>
                          <w:szCs w:val="18"/>
                        </w:rPr>
                      </w:pPr>
                      <w:r>
                        <w:rPr>
                          <w:b/>
                          <w:sz w:val="18"/>
                          <w:szCs w:val="18"/>
                        </w:rPr>
                        <w:t>FIGURE 2B: Plot of the Moderating Effect of Risk-Aversion Propensity on Radical Innovation</w:t>
                      </w:r>
                    </w:p>
                  </w:txbxContent>
                </v:textbox>
              </v:shape>
            </w:pict>
          </mc:Fallback>
        </mc:AlternateContent>
      </w:r>
    </w:p>
    <w:p w:rsidR="00987840" w:rsidRDefault="00987840" w:rsidP="00E4720E">
      <w:pPr>
        <w:ind w:firstLine="0"/>
      </w:pPr>
    </w:p>
    <w:p w:rsidR="00987840" w:rsidRDefault="00987840" w:rsidP="00E4720E">
      <w:pPr>
        <w:ind w:firstLine="0"/>
      </w:pPr>
    </w:p>
    <w:p w:rsidR="00987840" w:rsidRDefault="00987840" w:rsidP="00E4720E">
      <w:pPr>
        <w:ind w:firstLine="0"/>
      </w:pPr>
      <w:r>
        <w:rPr>
          <w:noProof/>
        </w:rPr>
        <w:drawing>
          <wp:anchor distT="0" distB="6068" distL="114300" distR="118091" simplePos="0" relativeHeight="251662336" behindDoc="1" locked="0" layoutInCell="1" allowOverlap="1" wp14:anchorId="65CD586D" wp14:editId="11C6280A">
            <wp:simplePos x="0" y="0"/>
            <wp:positionH relativeFrom="column">
              <wp:posOffset>-457200</wp:posOffset>
            </wp:positionH>
            <wp:positionV relativeFrom="paragraph">
              <wp:posOffset>44450</wp:posOffset>
            </wp:positionV>
            <wp:extent cx="5728335" cy="3337560"/>
            <wp:effectExtent l="0" t="0" r="24765" b="15240"/>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987840" w:rsidRDefault="00987840" w:rsidP="00E4720E">
      <w:pPr>
        <w:ind w:firstLine="0"/>
      </w:pPr>
    </w:p>
    <w:p w:rsidR="003B6FFD" w:rsidRPr="00E4720E" w:rsidRDefault="003B6FFD" w:rsidP="00E4720E">
      <w:pPr>
        <w:ind w:firstLine="0"/>
      </w:pPr>
    </w:p>
    <w:sectPr w:rsidR="003B6FFD" w:rsidRPr="00E4720E" w:rsidSect="004975B9">
      <w:footerReference w:type="default" r:id="rId13"/>
      <w:footnotePr>
        <w:numFmt w:val="lowerLetter"/>
      </w:footnotePr>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7E" w:rsidRDefault="0063147E" w:rsidP="00D22767">
      <w:r>
        <w:separator/>
      </w:r>
    </w:p>
  </w:endnote>
  <w:endnote w:type="continuationSeparator" w:id="0">
    <w:p w:rsidR="0063147E" w:rsidRDefault="0063147E" w:rsidP="00D2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98625"/>
      <w:docPartObj>
        <w:docPartGallery w:val="Page Numbers (Bottom of Page)"/>
        <w:docPartUnique/>
      </w:docPartObj>
    </w:sdtPr>
    <w:sdtEndPr>
      <w:rPr>
        <w:noProof/>
      </w:rPr>
    </w:sdtEndPr>
    <w:sdtContent>
      <w:p w:rsidR="00B62750" w:rsidRDefault="00B62750">
        <w:pPr>
          <w:pStyle w:val="Footer"/>
          <w:jc w:val="right"/>
        </w:pPr>
        <w:r>
          <w:fldChar w:fldCharType="begin"/>
        </w:r>
        <w:r>
          <w:instrText xml:space="preserve"> PAGE   \* MERGEFORMAT </w:instrText>
        </w:r>
        <w:r>
          <w:fldChar w:fldCharType="separate"/>
        </w:r>
        <w:r w:rsidR="0063105D">
          <w:rPr>
            <w:noProof/>
          </w:rPr>
          <w:t>1</w:t>
        </w:r>
        <w:r>
          <w:rPr>
            <w:noProof/>
          </w:rPr>
          <w:fldChar w:fldCharType="end"/>
        </w:r>
      </w:p>
    </w:sdtContent>
  </w:sdt>
  <w:p w:rsidR="00B62750" w:rsidRDefault="00B62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5233"/>
      <w:docPartObj>
        <w:docPartGallery w:val="Page Numbers (Bottom of Page)"/>
        <w:docPartUnique/>
      </w:docPartObj>
    </w:sdtPr>
    <w:sdtEndPr>
      <w:rPr>
        <w:noProof/>
      </w:rPr>
    </w:sdtEndPr>
    <w:sdtContent>
      <w:p w:rsidR="00B62750" w:rsidRDefault="00B62750">
        <w:pPr>
          <w:pStyle w:val="Footer"/>
          <w:jc w:val="right"/>
        </w:pPr>
        <w:r>
          <w:fldChar w:fldCharType="begin"/>
        </w:r>
        <w:r>
          <w:instrText xml:space="preserve"> PAGE   \* MERGEFORMAT </w:instrText>
        </w:r>
        <w:r>
          <w:fldChar w:fldCharType="separate"/>
        </w:r>
        <w:r w:rsidR="0063105D">
          <w:rPr>
            <w:noProof/>
          </w:rPr>
          <w:t>19</w:t>
        </w:r>
        <w:r>
          <w:rPr>
            <w:noProof/>
          </w:rPr>
          <w:fldChar w:fldCharType="end"/>
        </w:r>
      </w:p>
    </w:sdtContent>
  </w:sdt>
  <w:p w:rsidR="00B62750" w:rsidRDefault="00B62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7E" w:rsidRDefault="0063147E" w:rsidP="00D22767">
      <w:r>
        <w:separator/>
      </w:r>
    </w:p>
  </w:footnote>
  <w:footnote w:type="continuationSeparator" w:id="0">
    <w:p w:rsidR="0063147E" w:rsidRDefault="0063147E" w:rsidP="00D22767">
      <w:r>
        <w:continuationSeparator/>
      </w:r>
    </w:p>
  </w:footnote>
  <w:footnote w:id="1">
    <w:p w:rsidR="00B62750" w:rsidRPr="0063105D" w:rsidRDefault="00B62750" w:rsidP="00D22767">
      <w:pPr>
        <w:autoSpaceDE w:val="0"/>
        <w:autoSpaceDN w:val="0"/>
        <w:adjustRightInd w:val="0"/>
        <w:rPr>
          <w:rFonts w:cs="Times New Roman"/>
          <w:i/>
          <w:iCs/>
          <w:sz w:val="18"/>
          <w:szCs w:val="18"/>
          <w:lang w:val="en-GB"/>
        </w:rPr>
      </w:pPr>
      <w:r w:rsidRPr="00FA11FC">
        <w:rPr>
          <w:rStyle w:val="FootnoteReference"/>
          <w:sz w:val="18"/>
          <w:szCs w:val="18"/>
        </w:rPr>
        <w:footnoteRef/>
      </w:r>
      <w:r w:rsidRPr="005C5A29">
        <w:rPr>
          <w:sz w:val="18"/>
          <w:szCs w:val="18"/>
          <w:vertAlign w:val="superscript"/>
        </w:rPr>
        <w:t>&amp;</w:t>
      </w:r>
      <w:r>
        <w:rPr>
          <w:sz w:val="18"/>
          <w:szCs w:val="18"/>
          <w:vertAlign w:val="superscript"/>
        </w:rPr>
        <w:t>3</w:t>
      </w:r>
      <w:r>
        <w:rPr>
          <w:sz w:val="18"/>
          <w:szCs w:val="18"/>
        </w:rPr>
        <w:t xml:space="preserve"> </w:t>
      </w:r>
      <w:r w:rsidRPr="00FA11FC">
        <w:rPr>
          <w:rStyle w:val="Authoraffiliation"/>
          <w:rFonts w:cs="Times New Roman"/>
          <w:sz w:val="18"/>
          <w:szCs w:val="18"/>
          <w:lang w:val="en-GB"/>
        </w:rPr>
        <w:t>School of Industrial Engineering; P.O. Box 513, CNT 0.16</w:t>
      </w:r>
      <w:r>
        <w:rPr>
          <w:rStyle w:val="Authoraffiliation"/>
          <w:rFonts w:cs="Times New Roman"/>
          <w:sz w:val="18"/>
          <w:szCs w:val="18"/>
          <w:lang w:val="en-GB"/>
        </w:rPr>
        <w:t>/0.08</w:t>
      </w:r>
      <w:r w:rsidRPr="00FA11FC">
        <w:rPr>
          <w:rStyle w:val="Authoraffiliation"/>
          <w:rFonts w:cs="Times New Roman"/>
          <w:sz w:val="18"/>
          <w:szCs w:val="18"/>
          <w:lang w:val="en-GB"/>
        </w:rPr>
        <w:t>; 5600 MB Eindhoven, the Netherlands; T: +31 40 247 59 51</w:t>
      </w:r>
      <w:r>
        <w:rPr>
          <w:rStyle w:val="Authoraffiliation"/>
          <w:rFonts w:cs="Times New Roman"/>
          <w:sz w:val="18"/>
          <w:szCs w:val="18"/>
          <w:lang w:val="en-GB"/>
        </w:rPr>
        <w:t>/36</w:t>
      </w:r>
      <w:r w:rsidR="0063105D">
        <w:rPr>
          <w:rStyle w:val="Authoraffiliation"/>
          <w:rFonts w:cs="Times New Roman"/>
          <w:sz w:val="18"/>
          <w:szCs w:val="18"/>
          <w:lang w:val="en-GB"/>
        </w:rPr>
        <w:t xml:space="preserve"> </w:t>
      </w:r>
      <w:r>
        <w:rPr>
          <w:rStyle w:val="Authoraffiliation"/>
          <w:rFonts w:cs="Times New Roman"/>
          <w:sz w:val="18"/>
          <w:szCs w:val="18"/>
          <w:lang w:val="en-GB"/>
        </w:rPr>
        <w:t>70</w:t>
      </w:r>
      <w:r w:rsidRPr="00FA11FC">
        <w:rPr>
          <w:rStyle w:val="Authoraffiliation"/>
          <w:rFonts w:cs="Times New Roman"/>
          <w:sz w:val="18"/>
          <w:szCs w:val="18"/>
          <w:lang w:val="en-GB"/>
        </w:rPr>
        <w:t xml:space="preserve">; </w:t>
      </w:r>
      <w:r>
        <w:rPr>
          <w:rStyle w:val="Authoraffiliation"/>
          <w:rFonts w:cs="Times New Roman"/>
          <w:sz w:val="18"/>
          <w:szCs w:val="18"/>
          <w:lang w:val="en-GB"/>
        </w:rPr>
        <w:t>E</w:t>
      </w:r>
      <w:r w:rsidRPr="0063105D">
        <w:rPr>
          <w:rStyle w:val="Authoraffiliation"/>
          <w:rFonts w:cs="Times New Roman"/>
          <w:color w:val="auto"/>
          <w:sz w:val="18"/>
          <w:szCs w:val="18"/>
          <w:lang w:val="en-GB"/>
        </w:rPr>
        <w:t>:</w:t>
      </w:r>
      <w:r w:rsidRPr="0063105D">
        <w:rPr>
          <w:rStyle w:val="Authoraffiliation"/>
          <w:rFonts w:cs="Times New Roman"/>
          <w:i w:val="0"/>
          <w:color w:val="auto"/>
          <w:sz w:val="18"/>
          <w:szCs w:val="18"/>
          <w:lang w:val="en-GB"/>
        </w:rPr>
        <w:t> </w:t>
      </w:r>
      <w:hyperlink r:id="rId1" w:history="1">
        <w:r w:rsidRPr="0063105D">
          <w:rPr>
            <w:rStyle w:val="Hyperlink"/>
            <w:rFonts w:cs="Times New Roman"/>
            <w:i/>
            <w:color w:val="auto"/>
            <w:sz w:val="18"/>
            <w:szCs w:val="18"/>
            <w:u w:val="none"/>
            <w:lang w:val="en-GB"/>
          </w:rPr>
          <w:t>r.a.f.sumo@tue.nl</w:t>
        </w:r>
      </w:hyperlink>
      <w:r w:rsidRPr="0063105D">
        <w:rPr>
          <w:rStyle w:val="Authoraffiliation"/>
          <w:rFonts w:cs="Times New Roman"/>
          <w:i w:val="0"/>
          <w:color w:val="auto"/>
          <w:sz w:val="18"/>
          <w:szCs w:val="18"/>
          <w:lang w:val="en-GB"/>
        </w:rPr>
        <w:t xml:space="preserve"> /</w:t>
      </w:r>
      <w:r w:rsidRPr="0063105D">
        <w:rPr>
          <w:rStyle w:val="Authoraffiliation"/>
          <w:rFonts w:cs="Times New Roman"/>
          <w:color w:val="auto"/>
          <w:sz w:val="18"/>
          <w:szCs w:val="18"/>
          <w:lang w:val="en-GB"/>
        </w:rPr>
        <w:t xml:space="preserve"> a.j.v.weele@tue.nl.</w:t>
      </w:r>
    </w:p>
  </w:footnote>
  <w:footnote w:id="2">
    <w:p w:rsidR="00B62750" w:rsidRPr="00FA11FC" w:rsidRDefault="00B62750" w:rsidP="005A5B63">
      <w:pPr>
        <w:autoSpaceDE w:val="0"/>
        <w:autoSpaceDN w:val="0"/>
        <w:adjustRightInd w:val="0"/>
        <w:rPr>
          <w:rFonts w:cs="Times New Roman"/>
          <w:i/>
          <w:iCs/>
          <w:color w:val="000000"/>
          <w:sz w:val="18"/>
          <w:szCs w:val="18"/>
        </w:rPr>
      </w:pPr>
      <w:r w:rsidRPr="0063105D">
        <w:rPr>
          <w:rStyle w:val="FootnoteReference"/>
          <w:sz w:val="18"/>
          <w:szCs w:val="18"/>
        </w:rPr>
        <w:footnoteRef/>
      </w:r>
      <w:r w:rsidRPr="0063105D">
        <w:rPr>
          <w:sz w:val="18"/>
          <w:szCs w:val="18"/>
          <w:vertAlign w:val="superscript"/>
        </w:rPr>
        <w:t>&amp;4</w:t>
      </w:r>
      <w:r w:rsidRPr="0063105D">
        <w:rPr>
          <w:sz w:val="18"/>
          <w:szCs w:val="18"/>
        </w:rPr>
        <w:t xml:space="preserve"> </w:t>
      </w:r>
      <w:r w:rsidRPr="0063105D">
        <w:rPr>
          <w:rStyle w:val="Authoraffiliation"/>
          <w:rFonts w:cs="Times New Roman"/>
          <w:color w:val="auto"/>
          <w:sz w:val="18"/>
          <w:szCs w:val="18"/>
        </w:rPr>
        <w:t>Tilburg School of Eco</w:t>
      </w:r>
      <w:r w:rsidRPr="00FA11FC">
        <w:rPr>
          <w:rStyle w:val="Authoraffiliation"/>
          <w:rFonts w:cs="Times New Roman"/>
          <w:sz w:val="18"/>
          <w:szCs w:val="18"/>
        </w:rPr>
        <w:t>nomics and Management; P.O. Box 90153, K111</w:t>
      </w:r>
      <w:r>
        <w:rPr>
          <w:rStyle w:val="Authoraffiliation"/>
          <w:rFonts w:cs="Times New Roman"/>
          <w:sz w:val="18"/>
          <w:szCs w:val="18"/>
        </w:rPr>
        <w:t>1</w:t>
      </w:r>
      <w:r w:rsidRPr="00FA11FC">
        <w:rPr>
          <w:rStyle w:val="Authoraffiliation"/>
          <w:rFonts w:cs="Times New Roman"/>
          <w:sz w:val="18"/>
          <w:szCs w:val="18"/>
        </w:rPr>
        <w:t>; 5000 LE Tilburg, the Netherlands; T: +31 13 466 31 32</w:t>
      </w:r>
      <w:r>
        <w:rPr>
          <w:rStyle w:val="Authoraffiliation"/>
          <w:rFonts w:cs="Times New Roman"/>
          <w:sz w:val="18"/>
          <w:szCs w:val="18"/>
        </w:rPr>
        <w:t xml:space="preserve"> / 32 60</w:t>
      </w:r>
      <w:r w:rsidRPr="00FA11FC">
        <w:rPr>
          <w:rStyle w:val="Authoraffiliation"/>
          <w:rFonts w:cs="Times New Roman"/>
          <w:sz w:val="18"/>
          <w:szCs w:val="18"/>
        </w:rPr>
        <w:t>; E:</w:t>
      </w:r>
      <w:r w:rsidRPr="0063105D">
        <w:rPr>
          <w:rStyle w:val="Authoraffiliation"/>
          <w:rFonts w:cs="Times New Roman"/>
          <w:color w:val="auto"/>
          <w:sz w:val="18"/>
          <w:szCs w:val="18"/>
        </w:rPr>
        <w:t> </w:t>
      </w:r>
      <w:hyperlink r:id="rId2" w:history="1">
        <w:r w:rsidR="0063105D" w:rsidRPr="0063105D">
          <w:rPr>
            <w:rStyle w:val="Hyperlink"/>
            <w:rFonts w:cs="Times New Roman"/>
            <w:i/>
            <w:color w:val="auto"/>
            <w:sz w:val="18"/>
            <w:szCs w:val="18"/>
            <w:u w:val="none"/>
          </w:rPr>
          <w:t>w.vdrvalk@uvt.nl</w:t>
        </w:r>
      </w:hyperlink>
      <w:r w:rsidR="0063105D" w:rsidRPr="0063105D">
        <w:rPr>
          <w:rStyle w:val="Authoraffiliation"/>
          <w:rFonts w:cs="Times New Roman"/>
          <w:i w:val="0"/>
          <w:sz w:val="18"/>
          <w:szCs w:val="18"/>
        </w:rPr>
        <w:t xml:space="preserve"> </w:t>
      </w:r>
      <w:r w:rsidR="0063105D">
        <w:rPr>
          <w:rStyle w:val="Authoraffiliation"/>
          <w:rFonts w:cs="Times New Roman"/>
          <w:sz w:val="18"/>
          <w:szCs w:val="18"/>
        </w:rPr>
        <w:t>/ c.bode@uvt.nl</w:t>
      </w:r>
      <w:r>
        <w:rPr>
          <w:rStyle w:val="Authoraffiliation"/>
          <w:rFonts w:cs="Times New Roman"/>
          <w:sz w:val="18"/>
          <w:szCs w:val="18"/>
        </w:rPr>
        <w:t>.</w:t>
      </w:r>
    </w:p>
  </w:footnote>
  <w:footnote w:id="3">
    <w:p w:rsidR="00B62750" w:rsidRPr="00FA11FC" w:rsidRDefault="00B62750" w:rsidP="004E5A6B">
      <w:pPr>
        <w:autoSpaceDE w:val="0"/>
        <w:autoSpaceDN w:val="0"/>
        <w:adjustRightInd w:val="0"/>
        <w:ind w:firstLine="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D6B"/>
    <w:multiLevelType w:val="multilevel"/>
    <w:tmpl w:val="4C26A5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97D7B33"/>
    <w:multiLevelType w:val="multilevel"/>
    <w:tmpl w:val="2EB66B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BE1A0C"/>
    <w:multiLevelType w:val="multilevel"/>
    <w:tmpl w:val="DB98F7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8D5F5B"/>
    <w:multiLevelType w:val="hybridMultilevel"/>
    <w:tmpl w:val="DEECC1F8"/>
    <w:lvl w:ilvl="0" w:tplc="A43E91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F3A67"/>
    <w:multiLevelType w:val="hybridMultilevel"/>
    <w:tmpl w:val="EDA46CBE"/>
    <w:lvl w:ilvl="0" w:tplc="C6E25F06">
      <w:start w:val="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91250"/>
    <w:multiLevelType w:val="multilevel"/>
    <w:tmpl w:val="63366E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C6B62EC"/>
    <w:multiLevelType w:val="hybridMultilevel"/>
    <w:tmpl w:val="011A87EE"/>
    <w:lvl w:ilvl="0" w:tplc="316449C8">
      <w:start w:val="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72178"/>
    <w:multiLevelType w:val="hybridMultilevel"/>
    <w:tmpl w:val="2C7AB284"/>
    <w:lvl w:ilvl="0" w:tplc="4CCE0DB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30730F"/>
    <w:multiLevelType w:val="multilevel"/>
    <w:tmpl w:val="25DE14C0"/>
    <w:lvl w:ilvl="0">
      <w:start w:val="1"/>
      <w:numFmt w:val="decimal"/>
      <w:lvlText w:val="%1."/>
      <w:lvlJc w:val="left"/>
      <w:pPr>
        <w:ind w:left="720" w:hanging="360"/>
      </w:pPr>
      <w:rPr>
        <w:rFonts w:hint="default"/>
        <w:b/>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A4D2DB3"/>
    <w:multiLevelType w:val="multilevel"/>
    <w:tmpl w:val="46C0B15C"/>
    <w:lvl w:ilvl="0">
      <w:start w:val="1"/>
      <w:numFmt w:val="decimal"/>
      <w:pStyle w:val="Heading1"/>
      <w:lvlText w:val="%1."/>
      <w:lvlJc w:val="left"/>
      <w:pPr>
        <w:ind w:left="360" w:hanging="360"/>
      </w:pPr>
      <w:rPr>
        <w:rFonts w:ascii="Times New Roman" w:hAnsi="Times New Roman" w:hint="default"/>
        <w:b/>
        <w:i w:val="0"/>
        <w:sz w:val="24"/>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9"/>
  </w:num>
  <w:num w:numId="2">
    <w:abstractNumId w:val="6"/>
  </w:num>
  <w:num w:numId="3">
    <w:abstractNumId w:val="4"/>
  </w:num>
  <w:num w:numId="4">
    <w:abstractNumId w:val="8"/>
  </w:num>
  <w:num w:numId="5">
    <w:abstractNumId w:val="0"/>
  </w:num>
  <w:num w:numId="6">
    <w:abstractNumId w:val="2"/>
  </w:num>
  <w:num w:numId="7">
    <w:abstractNumId w:val="1"/>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Harvar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90v9x9t290xviex9spvvsamtd5vet90v00f&quot;&gt;Reference database WvdValk Copy&lt;record-ids&gt;&lt;item&gt;234&lt;/item&gt;&lt;item&gt;878&lt;/item&gt;&lt;item&gt;881&lt;/item&gt;&lt;item&gt;937&lt;/item&gt;&lt;item&gt;1313&lt;/item&gt;&lt;item&gt;1339&lt;/item&gt;&lt;item&gt;1357&lt;/item&gt;&lt;item&gt;1358&lt;/item&gt;&lt;item&gt;1359&lt;/item&gt;&lt;item&gt;1361&lt;/item&gt;&lt;item&gt;1362&lt;/item&gt;&lt;item&gt;1365&lt;/item&gt;&lt;item&gt;1366&lt;/item&gt;&lt;item&gt;1367&lt;/item&gt;&lt;item&gt;1371&lt;/item&gt;&lt;item&gt;1372&lt;/item&gt;&lt;item&gt;1373&lt;/item&gt;&lt;item&gt;1374&lt;/item&gt;&lt;item&gt;1375&lt;/item&gt;&lt;item&gt;1376&lt;/item&gt;&lt;item&gt;1377&lt;/item&gt;&lt;item&gt;1378&lt;/item&gt;&lt;item&gt;1379&lt;/item&gt;&lt;item&gt;1380&lt;/item&gt;&lt;item&gt;1381&lt;/item&gt;&lt;item&gt;1382&lt;/item&gt;&lt;item&gt;1387&lt;/item&gt;&lt;item&gt;1388&lt;/item&gt;&lt;item&gt;1389&lt;/item&gt;&lt;item&gt;1390&lt;/item&gt;&lt;item&gt;1391&lt;/item&gt;&lt;/record-ids&gt;&lt;/item&gt;&lt;/Libraries&gt;"/>
  </w:docVars>
  <w:rsids>
    <w:rsidRoot w:val="00D22767"/>
    <w:rsid w:val="00011F51"/>
    <w:rsid w:val="00094413"/>
    <w:rsid w:val="000B5B12"/>
    <w:rsid w:val="000D11DC"/>
    <w:rsid w:val="001100C2"/>
    <w:rsid w:val="0016482B"/>
    <w:rsid w:val="00173FB4"/>
    <w:rsid w:val="0027758C"/>
    <w:rsid w:val="002978BC"/>
    <w:rsid w:val="002A26C2"/>
    <w:rsid w:val="002E1464"/>
    <w:rsid w:val="002E75AD"/>
    <w:rsid w:val="00305450"/>
    <w:rsid w:val="00376633"/>
    <w:rsid w:val="003800E7"/>
    <w:rsid w:val="0038112F"/>
    <w:rsid w:val="00394D06"/>
    <w:rsid w:val="003B6FFD"/>
    <w:rsid w:val="003C322D"/>
    <w:rsid w:val="003D0232"/>
    <w:rsid w:val="003E196F"/>
    <w:rsid w:val="003E6DC6"/>
    <w:rsid w:val="003F0F6B"/>
    <w:rsid w:val="004933DD"/>
    <w:rsid w:val="004975B9"/>
    <w:rsid w:val="004D364B"/>
    <w:rsid w:val="004D41E9"/>
    <w:rsid w:val="004E5A6B"/>
    <w:rsid w:val="004F07BD"/>
    <w:rsid w:val="00522C2F"/>
    <w:rsid w:val="0052794F"/>
    <w:rsid w:val="00544D63"/>
    <w:rsid w:val="005920C1"/>
    <w:rsid w:val="005A5B63"/>
    <w:rsid w:val="005B6C58"/>
    <w:rsid w:val="005C3BBA"/>
    <w:rsid w:val="005C5280"/>
    <w:rsid w:val="005C5A29"/>
    <w:rsid w:val="005D36E0"/>
    <w:rsid w:val="005F2CDC"/>
    <w:rsid w:val="005F7201"/>
    <w:rsid w:val="0062270C"/>
    <w:rsid w:val="0063105D"/>
    <w:rsid w:val="0063147E"/>
    <w:rsid w:val="0063188D"/>
    <w:rsid w:val="00672F7F"/>
    <w:rsid w:val="00694344"/>
    <w:rsid w:val="006A0E38"/>
    <w:rsid w:val="006B2D04"/>
    <w:rsid w:val="006E23B2"/>
    <w:rsid w:val="006E5879"/>
    <w:rsid w:val="00702B6B"/>
    <w:rsid w:val="00727BE9"/>
    <w:rsid w:val="00744AF6"/>
    <w:rsid w:val="0076140F"/>
    <w:rsid w:val="00780DA9"/>
    <w:rsid w:val="0079062C"/>
    <w:rsid w:val="00802D06"/>
    <w:rsid w:val="00821ED6"/>
    <w:rsid w:val="00834132"/>
    <w:rsid w:val="00882958"/>
    <w:rsid w:val="00884A02"/>
    <w:rsid w:val="0089493A"/>
    <w:rsid w:val="008A2C53"/>
    <w:rsid w:val="008B669F"/>
    <w:rsid w:val="008C3412"/>
    <w:rsid w:val="008E72A8"/>
    <w:rsid w:val="008F4BF9"/>
    <w:rsid w:val="00934242"/>
    <w:rsid w:val="00952AF4"/>
    <w:rsid w:val="009577D5"/>
    <w:rsid w:val="009637EB"/>
    <w:rsid w:val="00987840"/>
    <w:rsid w:val="00992A79"/>
    <w:rsid w:val="009D2A14"/>
    <w:rsid w:val="00A06188"/>
    <w:rsid w:val="00A71986"/>
    <w:rsid w:val="00A90DA6"/>
    <w:rsid w:val="00A97250"/>
    <w:rsid w:val="00AD2025"/>
    <w:rsid w:val="00AE4FAB"/>
    <w:rsid w:val="00B42B90"/>
    <w:rsid w:val="00B60C3B"/>
    <w:rsid w:val="00B616E1"/>
    <w:rsid w:val="00B62750"/>
    <w:rsid w:val="00B7734B"/>
    <w:rsid w:val="00BC52A2"/>
    <w:rsid w:val="00BE1F3B"/>
    <w:rsid w:val="00C44F6B"/>
    <w:rsid w:val="00C71797"/>
    <w:rsid w:val="00C72696"/>
    <w:rsid w:val="00CA2B79"/>
    <w:rsid w:val="00CC756C"/>
    <w:rsid w:val="00CD77B5"/>
    <w:rsid w:val="00CE14BE"/>
    <w:rsid w:val="00D103B8"/>
    <w:rsid w:val="00D22767"/>
    <w:rsid w:val="00D96B57"/>
    <w:rsid w:val="00DB49D4"/>
    <w:rsid w:val="00DC26CF"/>
    <w:rsid w:val="00DF1C3F"/>
    <w:rsid w:val="00E4720E"/>
    <w:rsid w:val="00E602BA"/>
    <w:rsid w:val="00E877B1"/>
    <w:rsid w:val="00EA4411"/>
    <w:rsid w:val="00EB2E6D"/>
    <w:rsid w:val="00EC7CF6"/>
    <w:rsid w:val="00ED7329"/>
    <w:rsid w:val="00EF0DD4"/>
    <w:rsid w:val="00F34E52"/>
    <w:rsid w:val="00F77CA9"/>
    <w:rsid w:val="00FA11FC"/>
    <w:rsid w:val="00FA39EA"/>
    <w:rsid w:val="00FD7909"/>
    <w:rsid w:val="00FE6764"/>
    <w:rsid w:val="00FE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67"/>
    <w:pPr>
      <w:spacing w:after="0" w:line="240" w:lineRule="auto"/>
      <w:ind w:firstLine="357"/>
      <w:jc w:val="both"/>
    </w:pPr>
    <w:rPr>
      <w:rFonts w:ascii="Times New Roman" w:hAnsi="Times New Roman"/>
      <w:sz w:val="24"/>
    </w:rPr>
  </w:style>
  <w:style w:type="paragraph" w:styleId="Heading1">
    <w:name w:val="heading 1"/>
    <w:basedOn w:val="Normal"/>
    <w:next w:val="Normal"/>
    <w:link w:val="Heading1Char"/>
    <w:uiPriority w:val="9"/>
    <w:qFormat/>
    <w:rsid w:val="00D22767"/>
    <w:pPr>
      <w:keepNext/>
      <w:keepLines/>
      <w:numPr>
        <w:numId w:val="1"/>
      </w:numPr>
      <w:spacing w:before="480" w:after="24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 w:val="24"/>
      <w:szCs w:val="28"/>
    </w:rPr>
  </w:style>
  <w:style w:type="paragraph" w:styleId="CommentText">
    <w:name w:val="annotation text"/>
    <w:basedOn w:val="Normal"/>
    <w:link w:val="CommentTextChar"/>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sz w:val="22"/>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BodyText">
    <w:name w:val="Body Text"/>
    <w:basedOn w:val="Normal"/>
    <w:link w:val="BodyTextChar"/>
    <w:rsid w:val="0027758C"/>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7758C"/>
    <w:rPr>
      <w:rFonts w:ascii="Times New Roman" w:eastAsia="Times New Roman" w:hAnsi="Times New Roman" w:cs="Times New Roman"/>
      <w:sz w:val="24"/>
      <w:szCs w:val="20"/>
    </w:rPr>
  </w:style>
  <w:style w:type="paragraph" w:styleId="EndnoteText">
    <w:name w:val="endnote text"/>
    <w:basedOn w:val="Normal"/>
    <w:link w:val="EndnoteTextChar"/>
    <w:uiPriority w:val="99"/>
    <w:unhideWhenUsed/>
    <w:rsid w:val="00AE4FAB"/>
    <w:pPr>
      <w:ind w:firstLine="0"/>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AE4FAB"/>
    <w:rPr>
      <w:sz w:val="20"/>
      <w:szCs w:val="20"/>
    </w:rPr>
  </w:style>
  <w:style w:type="paragraph" w:styleId="CommentSubject">
    <w:name w:val="annotation subject"/>
    <w:basedOn w:val="CommentText"/>
    <w:next w:val="CommentText"/>
    <w:link w:val="CommentSubjectChar"/>
    <w:uiPriority w:val="99"/>
    <w:semiHidden/>
    <w:unhideWhenUsed/>
    <w:rsid w:val="00C44F6B"/>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C44F6B"/>
    <w:rPr>
      <w:rFonts w:ascii="Times New Roman" w:eastAsia="Times New Roman" w:hAnsi="Times New Roman" w:cs="Times New Roman"/>
      <w:b/>
      <w:bCs/>
      <w:sz w:val="20"/>
      <w:szCs w:val="20"/>
      <w:lang w:val="nl-NL" w:eastAsia="nl-NL"/>
    </w:rPr>
  </w:style>
  <w:style w:type="paragraph" w:styleId="Bibliography">
    <w:name w:val="Bibliography"/>
    <w:basedOn w:val="Normal"/>
    <w:next w:val="Normal"/>
    <w:uiPriority w:val="37"/>
    <w:unhideWhenUsed/>
    <w:rsid w:val="00F34E52"/>
    <w:pPr>
      <w:spacing w:line="480" w:lineRule="auto"/>
      <w:ind w:left="720" w:hanging="720"/>
    </w:pPr>
  </w:style>
  <w:style w:type="paragraph" w:styleId="Header">
    <w:name w:val="header"/>
    <w:basedOn w:val="Normal"/>
    <w:link w:val="HeaderChar"/>
    <w:uiPriority w:val="99"/>
    <w:unhideWhenUsed/>
    <w:rsid w:val="003B6FFD"/>
    <w:pPr>
      <w:tabs>
        <w:tab w:val="center" w:pos="4513"/>
        <w:tab w:val="right" w:pos="9026"/>
      </w:tabs>
      <w:ind w:firstLine="0"/>
      <w:jc w:val="left"/>
    </w:pPr>
    <w:rPr>
      <w:rFonts w:asciiTheme="minorHAnsi" w:hAnsiTheme="minorHAnsi"/>
      <w:sz w:val="22"/>
    </w:rPr>
  </w:style>
  <w:style w:type="character" w:customStyle="1" w:styleId="HeaderChar">
    <w:name w:val="Header Char"/>
    <w:basedOn w:val="DefaultParagraphFont"/>
    <w:link w:val="Header"/>
    <w:uiPriority w:val="99"/>
    <w:rsid w:val="003B6FFD"/>
  </w:style>
  <w:style w:type="character" w:styleId="EndnoteReference">
    <w:name w:val="endnote reference"/>
    <w:uiPriority w:val="99"/>
    <w:semiHidden/>
    <w:rsid w:val="003B6FFD"/>
    <w:rPr>
      <w:rFonts w:cs="Times New Roman"/>
      <w:vertAlign w:val="superscript"/>
    </w:rPr>
  </w:style>
  <w:style w:type="paragraph" w:styleId="NormalWeb">
    <w:name w:val="Normal (Web)"/>
    <w:basedOn w:val="Normal"/>
    <w:uiPriority w:val="99"/>
    <w:semiHidden/>
    <w:unhideWhenUsed/>
    <w:rsid w:val="003B6FFD"/>
    <w:pPr>
      <w:spacing w:before="100" w:beforeAutospacing="1" w:after="100" w:afterAutospacing="1"/>
      <w:ind w:firstLine="0"/>
      <w:jc w:val="left"/>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67"/>
    <w:pPr>
      <w:spacing w:after="0" w:line="240" w:lineRule="auto"/>
      <w:ind w:firstLine="357"/>
      <w:jc w:val="both"/>
    </w:pPr>
    <w:rPr>
      <w:rFonts w:ascii="Times New Roman" w:hAnsi="Times New Roman"/>
      <w:sz w:val="24"/>
    </w:rPr>
  </w:style>
  <w:style w:type="paragraph" w:styleId="Heading1">
    <w:name w:val="heading 1"/>
    <w:basedOn w:val="Normal"/>
    <w:next w:val="Normal"/>
    <w:link w:val="Heading1Char"/>
    <w:uiPriority w:val="9"/>
    <w:qFormat/>
    <w:rsid w:val="00D22767"/>
    <w:pPr>
      <w:keepNext/>
      <w:keepLines/>
      <w:numPr>
        <w:numId w:val="1"/>
      </w:numPr>
      <w:spacing w:before="480" w:after="24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7"/>
    <w:rPr>
      <w:rFonts w:ascii="Times New Roman" w:eastAsiaTheme="majorEastAsia" w:hAnsi="Times New Roman" w:cstheme="majorBidi"/>
      <w:b/>
      <w:bCs/>
      <w:sz w:val="24"/>
      <w:szCs w:val="28"/>
    </w:rPr>
  </w:style>
  <w:style w:type="paragraph" w:styleId="CommentText">
    <w:name w:val="annotation text"/>
    <w:basedOn w:val="Normal"/>
    <w:link w:val="CommentTextChar"/>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CommentTextChar">
    <w:name w:val="Comment Text Char"/>
    <w:basedOn w:val="DefaultParagraphFont"/>
    <w:link w:val="CommentText"/>
    <w:rsid w:val="00D22767"/>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rsid w:val="00D22767"/>
    <w:pPr>
      <w:widowControl w:val="0"/>
      <w:overflowPunct w:val="0"/>
      <w:autoSpaceDE w:val="0"/>
      <w:autoSpaceDN w:val="0"/>
      <w:adjustRightInd w:val="0"/>
      <w:textAlignment w:val="baseline"/>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D22767"/>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rsid w:val="00D22767"/>
    <w:rPr>
      <w:vertAlign w:val="superscript"/>
    </w:rPr>
  </w:style>
  <w:style w:type="paragraph" w:styleId="ListParagraph">
    <w:name w:val="List Paragraph"/>
    <w:basedOn w:val="Normal"/>
    <w:uiPriority w:val="34"/>
    <w:qFormat/>
    <w:rsid w:val="00D22767"/>
    <w:pPr>
      <w:ind w:left="720"/>
      <w:contextualSpacing/>
    </w:pPr>
  </w:style>
  <w:style w:type="character" w:customStyle="1" w:styleId="Authoraffiliation">
    <w:name w:val="Author affiliation"/>
    <w:basedOn w:val="DefaultParagraphFont"/>
    <w:rsid w:val="00D22767"/>
    <w:rPr>
      <w:i/>
      <w:iCs/>
      <w:color w:val="000000"/>
    </w:rPr>
  </w:style>
  <w:style w:type="character" w:customStyle="1" w:styleId="Authorname">
    <w:name w:val="Author name"/>
    <w:basedOn w:val="Authoraffiliation"/>
    <w:rsid w:val="00D22767"/>
    <w:rPr>
      <w:i w:val="0"/>
      <w:iCs w:val="0"/>
      <w:color w:val="000000"/>
    </w:rPr>
  </w:style>
  <w:style w:type="character" w:styleId="Hyperlink">
    <w:name w:val="Hyperlink"/>
    <w:basedOn w:val="DefaultParagraphFont"/>
    <w:uiPriority w:val="99"/>
    <w:unhideWhenUsed/>
    <w:rsid w:val="00D22767"/>
    <w:rPr>
      <w:color w:val="0000FF" w:themeColor="hyperlink"/>
      <w:u w:val="single"/>
    </w:rPr>
  </w:style>
  <w:style w:type="character" w:styleId="CommentReference">
    <w:name w:val="annotation reference"/>
    <w:basedOn w:val="DefaultParagraphFont"/>
    <w:uiPriority w:val="99"/>
    <w:unhideWhenUsed/>
    <w:rsid w:val="00D22767"/>
    <w:rPr>
      <w:sz w:val="16"/>
      <w:szCs w:val="16"/>
    </w:rPr>
  </w:style>
  <w:style w:type="paragraph" w:styleId="Footer">
    <w:name w:val="footer"/>
    <w:basedOn w:val="Normal"/>
    <w:link w:val="FooterChar"/>
    <w:uiPriority w:val="99"/>
    <w:unhideWhenUsed/>
    <w:rsid w:val="00D22767"/>
    <w:pPr>
      <w:tabs>
        <w:tab w:val="center" w:pos="4513"/>
        <w:tab w:val="right" w:pos="9026"/>
      </w:tabs>
      <w:ind w:firstLine="0"/>
      <w:jc w:val="left"/>
    </w:pPr>
    <w:rPr>
      <w:rFonts w:asciiTheme="minorHAnsi" w:hAnsiTheme="minorHAnsi"/>
      <w:sz w:val="22"/>
    </w:rPr>
  </w:style>
  <w:style w:type="character" w:customStyle="1" w:styleId="FooterChar">
    <w:name w:val="Footer Char"/>
    <w:basedOn w:val="DefaultParagraphFont"/>
    <w:link w:val="Footer"/>
    <w:uiPriority w:val="99"/>
    <w:rsid w:val="00D22767"/>
  </w:style>
  <w:style w:type="paragraph" w:styleId="BalloonText">
    <w:name w:val="Balloon Text"/>
    <w:basedOn w:val="Normal"/>
    <w:link w:val="BalloonTextChar"/>
    <w:uiPriority w:val="99"/>
    <w:semiHidden/>
    <w:unhideWhenUsed/>
    <w:rsid w:val="00D22767"/>
    <w:rPr>
      <w:rFonts w:ascii="Tahoma" w:hAnsi="Tahoma" w:cs="Tahoma"/>
      <w:sz w:val="16"/>
      <w:szCs w:val="16"/>
    </w:rPr>
  </w:style>
  <w:style w:type="character" w:customStyle="1" w:styleId="BalloonTextChar">
    <w:name w:val="Balloon Text Char"/>
    <w:basedOn w:val="DefaultParagraphFont"/>
    <w:link w:val="BalloonText"/>
    <w:uiPriority w:val="99"/>
    <w:semiHidden/>
    <w:rsid w:val="00D22767"/>
    <w:rPr>
      <w:rFonts w:ascii="Tahoma" w:hAnsi="Tahoma" w:cs="Tahoma"/>
      <w:sz w:val="16"/>
      <w:szCs w:val="16"/>
    </w:rPr>
  </w:style>
  <w:style w:type="paragraph" w:styleId="BodyText">
    <w:name w:val="Body Text"/>
    <w:basedOn w:val="Normal"/>
    <w:link w:val="BodyTextChar"/>
    <w:rsid w:val="0027758C"/>
    <w:pPr>
      <w:widowControl w:val="0"/>
      <w:overflowPunct w:val="0"/>
      <w:autoSpaceDE w:val="0"/>
      <w:autoSpaceDN w:val="0"/>
      <w:adjustRightInd w:val="0"/>
      <w:ind w:firstLine="0"/>
      <w:textAlignment w:val="baseline"/>
    </w:pPr>
    <w:rPr>
      <w:rFonts w:eastAsia="Times New Roman" w:cs="Times New Roman"/>
      <w:szCs w:val="20"/>
    </w:rPr>
  </w:style>
  <w:style w:type="character" w:customStyle="1" w:styleId="BodyTextChar">
    <w:name w:val="Body Text Char"/>
    <w:basedOn w:val="DefaultParagraphFont"/>
    <w:link w:val="BodyText"/>
    <w:rsid w:val="0027758C"/>
    <w:rPr>
      <w:rFonts w:ascii="Times New Roman" w:eastAsia="Times New Roman" w:hAnsi="Times New Roman" w:cs="Times New Roman"/>
      <w:sz w:val="24"/>
      <w:szCs w:val="20"/>
    </w:rPr>
  </w:style>
  <w:style w:type="paragraph" w:styleId="EndnoteText">
    <w:name w:val="endnote text"/>
    <w:basedOn w:val="Normal"/>
    <w:link w:val="EndnoteTextChar"/>
    <w:uiPriority w:val="99"/>
    <w:unhideWhenUsed/>
    <w:rsid w:val="00AE4FAB"/>
    <w:pPr>
      <w:ind w:firstLine="0"/>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AE4FAB"/>
    <w:rPr>
      <w:sz w:val="20"/>
      <w:szCs w:val="20"/>
    </w:rPr>
  </w:style>
  <w:style w:type="paragraph" w:styleId="CommentSubject">
    <w:name w:val="annotation subject"/>
    <w:basedOn w:val="CommentText"/>
    <w:next w:val="CommentText"/>
    <w:link w:val="CommentSubjectChar"/>
    <w:uiPriority w:val="99"/>
    <w:semiHidden/>
    <w:unhideWhenUsed/>
    <w:rsid w:val="00C44F6B"/>
    <w:pPr>
      <w:widowControl/>
      <w:overflowPunct/>
      <w:autoSpaceDE/>
      <w:autoSpaceDN/>
      <w:adjustRightInd/>
      <w:textAlignment w:val="auto"/>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C44F6B"/>
    <w:rPr>
      <w:rFonts w:ascii="Times New Roman" w:eastAsia="Times New Roman" w:hAnsi="Times New Roman" w:cs="Times New Roman"/>
      <w:b/>
      <w:bCs/>
      <w:sz w:val="20"/>
      <w:szCs w:val="20"/>
      <w:lang w:val="nl-NL" w:eastAsia="nl-NL"/>
    </w:rPr>
  </w:style>
  <w:style w:type="paragraph" w:styleId="Bibliography">
    <w:name w:val="Bibliography"/>
    <w:basedOn w:val="Normal"/>
    <w:next w:val="Normal"/>
    <w:uiPriority w:val="37"/>
    <w:unhideWhenUsed/>
    <w:rsid w:val="00F34E52"/>
    <w:pPr>
      <w:spacing w:line="480" w:lineRule="auto"/>
      <w:ind w:left="720" w:hanging="720"/>
    </w:pPr>
  </w:style>
  <w:style w:type="paragraph" w:styleId="Header">
    <w:name w:val="header"/>
    <w:basedOn w:val="Normal"/>
    <w:link w:val="HeaderChar"/>
    <w:uiPriority w:val="99"/>
    <w:unhideWhenUsed/>
    <w:rsid w:val="003B6FFD"/>
    <w:pPr>
      <w:tabs>
        <w:tab w:val="center" w:pos="4513"/>
        <w:tab w:val="right" w:pos="9026"/>
      </w:tabs>
      <w:ind w:firstLine="0"/>
      <w:jc w:val="left"/>
    </w:pPr>
    <w:rPr>
      <w:rFonts w:asciiTheme="minorHAnsi" w:hAnsiTheme="minorHAnsi"/>
      <w:sz w:val="22"/>
    </w:rPr>
  </w:style>
  <w:style w:type="character" w:customStyle="1" w:styleId="HeaderChar">
    <w:name w:val="Header Char"/>
    <w:basedOn w:val="DefaultParagraphFont"/>
    <w:link w:val="Header"/>
    <w:uiPriority w:val="99"/>
    <w:rsid w:val="003B6FFD"/>
  </w:style>
  <w:style w:type="character" w:styleId="EndnoteReference">
    <w:name w:val="endnote reference"/>
    <w:uiPriority w:val="99"/>
    <w:semiHidden/>
    <w:rsid w:val="003B6FFD"/>
    <w:rPr>
      <w:rFonts w:cs="Times New Roman"/>
      <w:vertAlign w:val="superscript"/>
    </w:rPr>
  </w:style>
  <w:style w:type="paragraph" w:styleId="NormalWeb">
    <w:name w:val="Normal (Web)"/>
    <w:basedOn w:val="Normal"/>
    <w:uiPriority w:val="99"/>
    <w:semiHidden/>
    <w:unhideWhenUsed/>
    <w:rsid w:val="003B6FFD"/>
    <w:pPr>
      <w:spacing w:before="100" w:beforeAutospacing="1" w:after="100" w:afterAutospacing="1"/>
      <w:ind w:firstLine="0"/>
      <w:jc w:val="left"/>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vdrvalk@uvt.nl" TargetMode="External"/><Relationship Id="rId1" Type="http://schemas.openxmlformats.org/officeDocument/2006/relationships/hyperlink" Target="mailto:r.a.f.sumo@tue.nl"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sumo\Dropbox\PhD\Papers%20&amp;%20Bookchapters\Paper%203%20-%20Survey%20Leverancier\Survey%20NVDO\RESULTATEN_%20OUTPUTS_GRAFIEKENbijmissing\Model_RA\Grafiek%20interaction%20PfP%20and%20ra_Incremental.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rsumo\Dropbox\PhD\Papers%20&amp;%20Bookchapters\Paper%203%20-%20Survey%20Leverancier\Survey%20NVDO\RESULTATEN_%20OUTPUTS_GRAFIEKENbijmissing\Model_RA\Grafiek%20interaction%20PfP%20and%20ra_Radical.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67462563126181"/>
          <c:y val="8.2308420056764434E-2"/>
          <c:w val="0.58720876074807515"/>
          <c:h val="0.76631977294228948"/>
        </c:manualLayout>
      </c:layout>
      <c:lineChart>
        <c:grouping val="standard"/>
        <c:varyColors val="0"/>
        <c:ser>
          <c:idx val="0"/>
          <c:order val="0"/>
          <c:tx>
            <c:strRef>
              <c:f>'2 way interactions'!$B$31</c:f>
              <c:strCache>
                <c:ptCount val="1"/>
                <c:pt idx="0">
                  <c:v>Low RA</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interactions'!$C$30:$D$30</c:f>
              <c:strCache>
                <c:ptCount val="2"/>
                <c:pt idx="0">
                  <c:v>Low PfP</c:v>
                </c:pt>
                <c:pt idx="1">
                  <c:v>High PfP</c:v>
                </c:pt>
              </c:strCache>
            </c:strRef>
          </c:cat>
          <c:val>
            <c:numRef>
              <c:f>'2 way interactions'!$C$31:$D$31</c:f>
              <c:numCache>
                <c:formatCode>General</c:formatCode>
                <c:ptCount val="2"/>
                <c:pt idx="0">
                  <c:v>3.16</c:v>
                </c:pt>
                <c:pt idx="1">
                  <c:v>3.1</c:v>
                </c:pt>
              </c:numCache>
            </c:numRef>
          </c:val>
          <c:smooth val="0"/>
        </c:ser>
        <c:ser>
          <c:idx val="1"/>
          <c:order val="1"/>
          <c:tx>
            <c:strRef>
              <c:f>'2 way interactions'!$B$32</c:f>
              <c:strCache>
                <c:ptCount val="1"/>
                <c:pt idx="0">
                  <c:v>High RA</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interactions'!$C$30:$D$30</c:f>
              <c:strCache>
                <c:ptCount val="2"/>
                <c:pt idx="0">
                  <c:v>Low PfP</c:v>
                </c:pt>
                <c:pt idx="1">
                  <c:v>High PfP</c:v>
                </c:pt>
              </c:strCache>
            </c:strRef>
          </c:cat>
          <c:val>
            <c:numRef>
              <c:f>'2 way interactions'!$C$32:$D$32</c:f>
              <c:numCache>
                <c:formatCode>General</c:formatCode>
                <c:ptCount val="2"/>
                <c:pt idx="0">
                  <c:v>2.64</c:v>
                </c:pt>
                <c:pt idx="1">
                  <c:v>3.1</c:v>
                </c:pt>
              </c:numCache>
            </c:numRef>
          </c:val>
          <c:smooth val="0"/>
        </c:ser>
        <c:dLbls>
          <c:showLegendKey val="0"/>
          <c:showVal val="0"/>
          <c:showCatName val="0"/>
          <c:showSerName val="0"/>
          <c:showPercent val="0"/>
          <c:showBubbleSize val="0"/>
        </c:dLbls>
        <c:marker val="1"/>
        <c:smooth val="0"/>
        <c:axId val="159365760"/>
        <c:axId val="174948736"/>
      </c:lineChart>
      <c:catAx>
        <c:axId val="1593657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4948736"/>
        <c:crosses val="autoZero"/>
        <c:auto val="1"/>
        <c:lblAlgn val="ctr"/>
        <c:lblOffset val="100"/>
        <c:tickLblSkip val="1"/>
        <c:tickMarkSkip val="1"/>
        <c:noMultiLvlLbl val="0"/>
      </c:catAx>
      <c:valAx>
        <c:axId val="174948736"/>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Incremental Innovation</a:t>
                </a:r>
              </a:p>
            </c:rich>
          </c:tx>
          <c:layout>
            <c:manualLayout>
              <c:xMode val="edge"/>
              <c:yMode val="edge"/>
              <c:x val="3.5289322278423803E-2"/>
              <c:y val="0.2790954751825938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59365760"/>
        <c:crosses val="autoZero"/>
        <c:crossBetween val="between"/>
      </c:valAx>
      <c:spPr>
        <a:solidFill>
          <a:srgbClr val="FFFFFF"/>
        </a:solidFill>
        <a:ln w="12700">
          <a:solidFill>
            <a:srgbClr val="808080"/>
          </a:solidFill>
          <a:prstDash val="solid"/>
        </a:ln>
      </c:spPr>
    </c:plotArea>
    <c:legend>
      <c:legendPos val="r"/>
      <c:layout>
        <c:manualLayout>
          <c:xMode val="edge"/>
          <c:yMode val="edge"/>
          <c:x val="0.73607863586588107"/>
          <c:y val="0.39735105535206428"/>
          <c:w val="0.25142462324659742"/>
          <c:h val="0.13907281088471179"/>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67462563126181"/>
          <c:y val="8.2308420056764434E-2"/>
          <c:w val="0.58720876074807515"/>
          <c:h val="0.76631977294228948"/>
        </c:manualLayout>
      </c:layout>
      <c:lineChart>
        <c:grouping val="standard"/>
        <c:varyColors val="0"/>
        <c:ser>
          <c:idx val="0"/>
          <c:order val="0"/>
          <c:tx>
            <c:strRef>
              <c:f>'2 way interactions'!$B$31</c:f>
              <c:strCache>
                <c:ptCount val="1"/>
                <c:pt idx="0">
                  <c:v>Low RA</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interactions'!$C$30:$D$30</c:f>
              <c:strCache>
                <c:ptCount val="2"/>
                <c:pt idx="0">
                  <c:v>Low PfP</c:v>
                </c:pt>
                <c:pt idx="1">
                  <c:v>High PfP</c:v>
                </c:pt>
              </c:strCache>
            </c:strRef>
          </c:cat>
          <c:val>
            <c:numRef>
              <c:f>'2 way interactions'!$C$31:$D$31</c:f>
              <c:numCache>
                <c:formatCode>General</c:formatCode>
                <c:ptCount val="2"/>
                <c:pt idx="0">
                  <c:v>2.97</c:v>
                </c:pt>
                <c:pt idx="1">
                  <c:v>3.19</c:v>
                </c:pt>
              </c:numCache>
            </c:numRef>
          </c:val>
          <c:smooth val="0"/>
        </c:ser>
        <c:ser>
          <c:idx val="1"/>
          <c:order val="1"/>
          <c:tx>
            <c:strRef>
              <c:f>'2 way interactions'!$B$32</c:f>
              <c:strCache>
                <c:ptCount val="1"/>
                <c:pt idx="0">
                  <c:v>High RA</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interactions'!$C$30:$D$30</c:f>
              <c:strCache>
                <c:ptCount val="2"/>
                <c:pt idx="0">
                  <c:v>Low PfP</c:v>
                </c:pt>
                <c:pt idx="1">
                  <c:v>High PfP</c:v>
                </c:pt>
              </c:strCache>
            </c:strRef>
          </c:cat>
          <c:val>
            <c:numRef>
              <c:f>'2 way interactions'!$C$32:$D$32</c:f>
              <c:numCache>
                <c:formatCode>General</c:formatCode>
                <c:ptCount val="2"/>
                <c:pt idx="0">
                  <c:v>2.27</c:v>
                </c:pt>
                <c:pt idx="1">
                  <c:v>3.5700000000000003</c:v>
                </c:pt>
              </c:numCache>
            </c:numRef>
          </c:val>
          <c:smooth val="0"/>
        </c:ser>
        <c:dLbls>
          <c:showLegendKey val="0"/>
          <c:showVal val="0"/>
          <c:showCatName val="0"/>
          <c:showSerName val="0"/>
          <c:showPercent val="0"/>
          <c:showBubbleSize val="0"/>
        </c:dLbls>
        <c:marker val="1"/>
        <c:smooth val="0"/>
        <c:axId val="175126400"/>
        <c:axId val="175128576"/>
      </c:lineChart>
      <c:catAx>
        <c:axId val="17512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5128576"/>
        <c:crosses val="autoZero"/>
        <c:auto val="1"/>
        <c:lblAlgn val="ctr"/>
        <c:lblOffset val="100"/>
        <c:tickLblSkip val="1"/>
        <c:tickMarkSkip val="1"/>
        <c:noMultiLvlLbl val="0"/>
      </c:catAx>
      <c:valAx>
        <c:axId val="175128576"/>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a:t>Radical Innovation</a:t>
                </a:r>
              </a:p>
            </c:rich>
          </c:tx>
          <c:layout>
            <c:manualLayout>
              <c:xMode val="edge"/>
              <c:yMode val="edge"/>
              <c:x val="3.5289322278423803E-2"/>
              <c:y val="0.2790954751825938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5126400"/>
        <c:crosses val="autoZero"/>
        <c:crossBetween val="between"/>
      </c:valAx>
      <c:spPr>
        <a:solidFill>
          <a:srgbClr val="FFFFFF"/>
        </a:solidFill>
        <a:ln w="12700">
          <a:solidFill>
            <a:srgbClr val="808080"/>
          </a:solidFill>
          <a:prstDash val="solid"/>
        </a:ln>
      </c:spPr>
    </c:plotArea>
    <c:legend>
      <c:legendPos val="r"/>
      <c:layout>
        <c:manualLayout>
          <c:xMode val="edge"/>
          <c:yMode val="edge"/>
          <c:x val="0.73607863586588107"/>
          <c:y val="0.39735105535206428"/>
          <c:w val="0.25142462324659742"/>
          <c:h val="0.13907281088471179"/>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0.07353</cdr:x>
      <cdr:y>0.05997</cdr:y>
    </cdr:from>
    <cdr:to>
      <cdr:x>0.11213</cdr:x>
      <cdr:y>0.88068</cdr:y>
    </cdr:to>
    <cdr:sp macro="" textlink="">
      <cdr:nvSpPr>
        <cdr:cNvPr id="2" name="Rectangle 1"/>
        <cdr:cNvSpPr/>
      </cdr:nvSpPr>
      <cdr:spPr bwMode="auto">
        <a:xfrm xmlns:a="http://schemas.openxmlformats.org/drawingml/2006/main">
          <a:off x="423334" y="201084"/>
          <a:ext cx="222250" cy="2751666"/>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noFill/>
          <a:prstDash val="solid"/>
          <a:round/>
          <a:headEnd type="none" w="med" len="med"/>
          <a:tailEnd type="none" w="med" len="med"/>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upright="1"/>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0.07353</cdr:x>
      <cdr:y>0.05997</cdr:y>
    </cdr:from>
    <cdr:to>
      <cdr:x>0.11213</cdr:x>
      <cdr:y>0.88068</cdr:y>
    </cdr:to>
    <cdr:sp macro="" textlink="">
      <cdr:nvSpPr>
        <cdr:cNvPr id="2" name="Rectangle 1"/>
        <cdr:cNvSpPr/>
      </cdr:nvSpPr>
      <cdr:spPr bwMode="auto">
        <a:xfrm xmlns:a="http://schemas.openxmlformats.org/drawingml/2006/main">
          <a:off x="423334" y="201084"/>
          <a:ext cx="222250" cy="2751666"/>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cap="flat" cmpd="sng" algn="ctr">
          <a:noFill/>
          <a:prstDash val="solid"/>
          <a:round/>
          <a:headEnd type="none" w="med" len="med"/>
          <a:tailEnd type="none" w="med" len="med"/>
        </a:ln>
        <a:effectLst xmlns:a="http://schemas.openxmlformats.org/drawingml/2006/main"/>
        <a:extLst xmlns:a="http://schemas.openxmlformats.org/drawingml/2006/main">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upright="1"/>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7082-7031-454E-AC2A-D96D71BB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42535</Words>
  <Characters>242450</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284417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2</cp:revision>
  <dcterms:created xsi:type="dcterms:W3CDTF">2014-02-21T13:58:00Z</dcterms:created>
  <dcterms:modified xsi:type="dcterms:W3CDTF">2014-02-21T13:58:00Z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zotero-version="4.0.17.1"&gt;&lt;session id="O3wKW59q"/&gt;&lt;style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